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600"/>
        <w:gridCol w:w="4438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r>
              <w:drawing>
                <wp:inline distT="0" distB="0" distL="0" distR="0">
                  <wp:extent cx="1152525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Borders>
              <w:top w:val="none" w:color="FFFFFF" w:sz="0"/>
              <w:left w:val="single" w:color="E3E5E8" w:sz="8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1019175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Proposta nº 001/2026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6B6B70"/>
                <w:sz w:val="16"/>
                <w:szCs w:val="16"/>
              </w:rPr>
              <w:t xml:space="preserve">Contabilidade + Advocacia em parceria</w:t>
            </w:r>
          </w:p>
        </w:tc>
      </w:tr>
    </w:tbl>
    <w:p>
      <w:pPr>
        <w:keepNext w:val="false"/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AF58" w:sz="48"/>
              <w:bottom w:val="none" w:color="FFFFFF" w:sz="0"/>
              <w:right w:val="none" w:color="FFFFFF" w:sz="0"/>
            </w:tcBorders>
            <w:shd w:fill="1A1A1A" w:color="auto" w:val="clear"/>
            <w:tcMar>
              <w:top w:type="dxa" w:w="300"/>
              <w:left w:type="dxa" w:w="4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AF58"/>
                <w:spacing w:val="40"/>
                <w:sz w:val="15"/>
                <w:szCs w:val="15"/>
              </w:rPr>
              <w:t xml:space="preserve">PROPOSTA COMERCIAL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Planejamento Trabalhista</w:t>
            </w:r>
          </w:p>
          <w:p>
            <w:r>
              <w:rPr>
                <w:rFonts w:ascii="Calibri" w:cs="Calibri" w:eastAsia="Calibri" w:hAnsi="Calibri"/>
                <w:color w:val="C9CBCF"/>
                <w:sz w:val="20"/>
                <w:szCs w:val="20"/>
              </w:rPr>
              <w:t xml:space="preserve">Diagnóstico, estimativa de custos e plano de regularização do quadro de empregados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3E5E8" w:sz="6"/>
              <w:right w:val="single" w:color="E3E5E8" w:sz="6"/>
            </w:tcBorders>
            <w:tcMar>
              <w:top w:type="dxa" w:w="140"/>
              <w:left w:type="dxa" w:w="0"/>
              <w:bottom w:type="dxa" w:w="14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B6B70"/>
                <w:spacing w:val="30"/>
                <w:sz w:val="14"/>
                <w:szCs w:val="14"/>
              </w:rPr>
              <w:t xml:space="preserve">CLIENTE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MARMA LTDA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6B6B70"/>
                <w:sz w:val="17"/>
                <w:szCs w:val="17"/>
              </w:rPr>
              <w:t xml:space="preserve">CNPJ 67.699.385/0001-06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3E5E8" w:sz="6"/>
              <w:right w:val="single" w:color="E3E5E8" w:sz="6"/>
            </w:tcBorders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B6B70"/>
                <w:spacing w:val="30"/>
                <w:sz w:val="14"/>
                <w:szCs w:val="14"/>
              </w:rPr>
              <w:t xml:space="preserve">DATA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20/10/2026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6B6B70"/>
                <w:sz w:val="17"/>
                <w:szCs w:val="17"/>
              </w:rPr>
              <w:t xml:space="preserve">Santa Cruz do Capibaribe/PE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B6B70"/>
                <w:spacing w:val="30"/>
                <w:sz w:val="14"/>
                <w:szCs w:val="14"/>
              </w:rPr>
              <w:t xml:space="preserve">VALIDADE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15 dias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6B6B70"/>
                <w:sz w:val="17"/>
                <w:szCs w:val="17"/>
              </w:rPr>
              <w:t xml:space="preserve">Prazo de execução: 30 dias</w:t>
            </w:r>
          </w:p>
        </w:tc>
      </w:tr>
    </w:tbl>
    <w:p>
      <w:pPr>
        <w:keepNext w:val="false"/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AF58" w:sz="24"/>
              <w:bottom w:val="none" w:color="FFFFFF" w:sz="0"/>
              <w:right w:val="none" w:color="FFFFFF" w:sz="0"/>
            </w:tcBorders>
            <w:shd w:fill="F5F6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Versão válida.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Esta Proposta nº 001/2026 é a versão oficial. A versão em espanhol é apresentada apenas para facilitar o entendimento; qualquer dúvida será esclarecida pela versão em português.</w:t>
            </w:r>
          </w:p>
        </w:tc>
      </w:tr>
    </w:tbl>
    <w:p>
      <w:pPr>
        <w:keepNext/>
        <w:pBdr>
          <w:bottom w:val="single" w:color="E3E5E8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0AF58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  Contexto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A MARMA LTDA é uma indústria de confecção com CNPJ recém-aberto e ainda sem movimentação. Hoje cerca de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35 pessoas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 trabalham nas instalações da empresa: parte recebe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por hora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 e parte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por produção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. Quem trabalha por produção define o quanto quer produzir e, para cumprir as entregas e ganhar mais, costuma ter uma rotina intensa. A jornada de cada função será analisada caso a caso.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 empresa quer começar a operar formalmente, registrar os trabalhadores e reduzir o risco de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fiscalização do trabalho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 e de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reclamações trabalhistas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, com um custo que caiba na operação. O foco principal são os trabalhadores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por produção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</w:t>
      </w:r>
    </w:p>
    <w:p>
      <w:pPr>
        <w:keepNext/>
        <w:pBdr>
          <w:bottom w:val="single" w:color="E3E5E8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0AF58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  Objetivo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Entregar à diretoria um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plano de regularização completo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, com o custo real de cada cenário e o modelo de contratação juridicamente seguro mais econômico para cada grupo de trabalhadores. O plano também traz o cronograma e os documentos prontos para começar os registros.</w:t>
      </w:r>
    </w:p>
    <w:p>
      <w:pPr>
        <w:keepNext/>
        <w:pBdr>
          <w:bottom w:val="single" w:color="E3E5E8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0AF58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  O que será entregue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19"/>
        <w:gridCol w:w="200"/>
        <w:gridCol w:w="4719"/>
      </w:tblGrid>
      <w:tr>
        <w:tc>
          <w:tcPr>
            <w:tcW w:type="dxa" w:w="4719"/>
            <w:tcBorders>
              <w:top w:val="single" w:color="E3E5E8" w:sz="6"/>
              <w:left w:val="single" w:color="E3E5E8" w:sz="6"/>
              <w:bottom w:val="single" w:color="E3E5E8" w:sz="6"/>
              <w:right w:val="single" w:color="E3E5E8" w:sz="6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8A45"/>
                <w:spacing w:val="30"/>
                <w:sz w:val="15"/>
                <w:szCs w:val="15"/>
              </w:rPr>
              <w:t xml:space="preserve">ETAPA 1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Diagnóstico 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8A45"/>
                <w:sz w:val="14"/>
                <w:szCs w:val="14"/>
                <w:shd w:fill="E8F7EF" w:color="auto" w:val="clear"/>
              </w:rPr>
              <w:t xml:space="preserve">  METABASE  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3C3A3D"/>
                <w:sz w:val="14"/>
                <w:szCs w:val="14"/>
                <w:shd w:fill="ECECEE" w:color="auto" w:val="clear"/>
              </w:rPr>
              <w:t xml:space="preserve">  ARNESSEN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Levantamento individual dos ~35 trabalhadores: função, forma de pagamento, remuneração média, jornada real, tempo de serviço e documentação.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Visita técnica à fábrica e entrevistas sobre o fluxo de produção, o controle de peças e o horário de funcionamento.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Enquadramento: CNAE, Simples Nacional (Anexo II), sindicato e Convenção Coletiva aplicável (piso, adicionais, regras de jornada e de produção).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t xml:space="preserve"/>
            </w:r>
          </w:p>
        </w:tc>
        <w:tc>
          <w:tcPr>
            <w:tcW w:type="dxa" w:w="4719"/>
            <w:tcBorders>
              <w:top w:val="single" w:color="E3E5E8" w:sz="6"/>
              <w:left w:val="single" w:color="E3E5E8" w:sz="6"/>
              <w:bottom w:val="single" w:color="E3E5E8" w:sz="6"/>
              <w:right w:val="single" w:color="E3E5E8" w:sz="6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8A45"/>
                <w:spacing w:val="30"/>
                <w:sz w:val="15"/>
                <w:szCs w:val="15"/>
              </w:rPr>
              <w:t xml:space="preserve">ETAPA 2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Estudo de custos 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8A45"/>
                <w:sz w:val="14"/>
                <w:szCs w:val="14"/>
                <w:shd w:fill="E8F7EF" w:color="auto" w:val="clear"/>
              </w:rPr>
              <w:t xml:space="preserve">  METABASE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Custo mensal e anual de cada trabalhador e da folha: salário, FGTS, 13º, férias + 1/3, provisões, DSR, horas extras e saúde e segurança do trabalho.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Comparação de cenários: registro integral × escalonado, e horista × produção com piso × banco de horas.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Impacto no caixa e no custo de mão de obra por peça, e verificação dos limites do Simples e do ICMS-PE.</w:t>
            </w:r>
          </w:p>
        </w:tc>
      </w:tr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</w:p>
        </w:tc>
      </w:tr>
      <w:tr>
        <w:tc>
          <w:tcPr>
            <w:tcW w:type="dxa" w:w="4719"/>
            <w:tcBorders>
              <w:top w:val="single" w:color="E3E5E8" w:sz="6"/>
              <w:left w:val="single" w:color="E3E5E8" w:sz="6"/>
              <w:bottom w:val="single" w:color="E3E5E8" w:sz="6"/>
              <w:right w:val="single" w:color="E3E5E8" w:sz="6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8A45"/>
                <w:spacing w:val="30"/>
                <w:sz w:val="15"/>
                <w:szCs w:val="15"/>
              </w:rPr>
              <w:t xml:space="preserve">ETAPA 3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Modelagem jurídica 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3C3A3D"/>
                <w:sz w:val="14"/>
                <w:szCs w:val="14"/>
                <w:shd w:fill="ECECEE" w:color="auto" w:val="clear"/>
              </w:rPr>
              <w:t xml:space="preserve">  ARNESSEN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Contrato por produção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 com garantia do piso, critério de apuração das peças, DSR e horas extras (art. 78 da CLT; art. 7º, VII, da CF; OJ 235 do TST).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Jornada: análise caso a caso de cada função, acordo de compensação/banco de horas (art. 59 da CLT) e organização da escala semanal.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Alternativas e seus riscos: prêmios (art. 457), contrato de experiência, facção externa (Lei 6.019/74) e os limites da "pejotização".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Passivo anterior ao registro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 e estratégia para tratá-lo, inclusive por acordo extrajudicial homologado (art. 855-B da CLT).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Regulamento interno e termos individuais.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t xml:space="preserve"/>
            </w:r>
          </w:p>
        </w:tc>
        <w:tc>
          <w:tcPr>
            <w:tcW w:type="dxa" w:w="4719"/>
            <w:tcBorders>
              <w:top w:val="single" w:color="E3E5E8" w:sz="6"/>
              <w:left w:val="single" w:color="E3E5E8" w:sz="6"/>
              <w:bottom w:val="single" w:color="E3E5E8" w:sz="6"/>
              <w:right w:val="single" w:color="E3E5E8" w:sz="6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8A45"/>
                <w:spacing w:val="30"/>
                <w:sz w:val="15"/>
                <w:szCs w:val="15"/>
              </w:rPr>
              <w:t xml:space="preserve">ETAPA 4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Plano de implantação 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8A45"/>
                <w:sz w:val="14"/>
                <w:szCs w:val="14"/>
                <w:shd w:fill="E8F7EF" w:color="auto" w:val="clear"/>
              </w:rPr>
              <w:t xml:space="preserve">  METABASE  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3C3A3D"/>
                <w:sz w:val="14"/>
                <w:szCs w:val="14"/>
                <w:shd w:fill="ECECEE" w:color="auto" w:val="clear"/>
              </w:rPr>
              <w:t xml:space="preserve">  ARNESSEN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Cronograma de admissões por fases, com prioridades definidas pelo risco.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Checklist admissional, eSocial, FGTS Digital e DCTFWeb.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Controle de ponto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, obrigatório acima de 20 empregados (art. 74, §2º, da CLT).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Roteiro de saúde e segurança: PGR, PCMSO, exames, NR-12 (máquinas) e NR-17 (ergonomia).</w:t>
            </w:r>
          </w:p>
        </w:tc>
      </w:tr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9638"/>
            <w:gridSpan w:val="3"/>
            <w:tcBorders>
              <w:top w:val="single" w:color="E3E5E8" w:sz="6"/>
              <w:left w:val="single" w:color="E3E5E8" w:sz="6"/>
              <w:bottom w:val="single" w:color="E3E5E8" w:sz="6"/>
              <w:right w:val="single" w:color="E3E5E8" w:sz="6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8A45"/>
                <w:spacing w:val="30"/>
                <w:sz w:val="15"/>
                <w:szCs w:val="15"/>
              </w:rPr>
              <w:t xml:space="preserve">ETAPA 5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Entrega e apresentação 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8A45"/>
                <w:sz w:val="14"/>
                <w:szCs w:val="14"/>
                <w:shd w:fill="E8F7EF" w:color="auto" w:val="clear"/>
              </w:rPr>
              <w:t xml:space="preserve">  METABASE  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3C3A3D"/>
                <w:sz w:val="14"/>
                <w:szCs w:val="14"/>
                <w:shd w:fill="ECECEE" w:color="auto" w:val="clear"/>
              </w:rPr>
              <w:t xml:space="preserve">  ARNESSEN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Relatório executivo com os cenários, os custos e a recomendação final.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Reunião presencial de apresentação à diretoria, com a participação do contador e do advogado.</w:t>
            </w:r>
          </w:p>
        </w:tc>
      </w:tr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DF6E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Fora do escopo: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execução mensal da folha e das admissões (Proposta nº 002/2026), defesa em ações judiciais e autos de infração já existentes, e custos de terceiros: exames médicos, PGR/PCMSO, sistema de ponto, taxas e certidões.</w:t>
            </w:r>
          </w:p>
        </w:tc>
      </w:tr>
    </w:tbl>
    <w:p>
      <w:pPr>
        <w:keepNext/>
        <w:pBdr>
          <w:bottom w:val="single" w:color="E3E5E8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0AF58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  Estimativa preliminar de custos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Premissas: salário-base de R$ 1.621,00 (salário mínimo 2026) e empresa optante pelo Simples Nacional, Anexo II. Nesse regime, a contribuição patronal ao INSS já está incluída no DAS. O piso da Convenção Coletiva ainda será confirmado e pode ser maior.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06"/>
        <w:gridCol w:w="160"/>
        <w:gridCol w:w="3106"/>
        <w:gridCol w:w="160"/>
        <w:gridCol w:w="3106"/>
      </w:tblGrid>
      <w:tr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color="auto" w:val="clear"/>
            <w:tcMar>
              <w:top w:type="dxa" w:w="180"/>
              <w:left w:type="dxa" w:w="220"/>
              <w:bottom w:type="dxa" w:w="18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AF58"/>
                <w:sz w:val="34"/>
                <w:szCs w:val="34"/>
              </w:rPr>
              <w:t xml:space="preserve">R$ 2.153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C9CBCF"/>
                <w:sz w:val="16"/>
                <w:szCs w:val="16"/>
              </w:rPr>
              <w:t xml:space="preserve">custo mensal por empregado registrado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t xml:space="preserve"/>
            </w:r>
          </w:p>
        </w:tc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7" w:color="auto" w:val="clear"/>
            <w:tcMar>
              <w:top w:type="dxa" w:w="180"/>
              <w:left w:type="dxa" w:w="220"/>
              <w:bottom w:type="dxa" w:w="18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4"/>
                <w:szCs w:val="34"/>
              </w:rPr>
              <w:t xml:space="preserve">1,33×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6B6B70"/>
                <w:sz w:val="16"/>
                <w:szCs w:val="16"/>
              </w:rPr>
              <w:t xml:space="preserve">fator sobre o salário (encargos + provisões)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t xml:space="preserve"/>
            </w:r>
          </w:p>
        </w:tc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7" w:color="auto" w:val="clear"/>
            <w:tcMar>
              <w:top w:type="dxa" w:w="180"/>
              <w:left w:type="dxa" w:w="220"/>
              <w:bottom w:type="dxa" w:w="18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4"/>
                <w:szCs w:val="34"/>
              </w:rPr>
              <w:t xml:space="preserve">R$ 75 mil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6B6B70"/>
                <w:sz w:val="16"/>
                <w:szCs w:val="16"/>
              </w:rPr>
              <w:t xml:space="preserve">folha mensal com os 35 registrados, sem horas extras</w:t>
            </w:r>
          </w:p>
        </w:tc>
      </w:tr>
    </w:tbl>
    <w:p>
      <w:pPr>
        <w:keepNext w:val="false"/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138"/>
        <w:gridCol w:w="2500"/>
      </w:tblGrid>
      <w:tr>
        <w:trPr>
          <w:cantSplit/>
          <w:tblHeader/>
        </w:trPr>
        <w:tc>
          <w:tcPr>
            <w:tcW w:type="dxa" w:w="7138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shd w:fill="1A1A1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 mensal por empregado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shd w:fill="1A1A1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R$</w:t>
            </w:r>
          </w:p>
        </w:tc>
      </w:tr>
      <w:tr>
        <w:trPr>
          <w:cantSplit/>
          <w:tblHeader w:val="false"/>
        </w:trPr>
        <w:tc>
          <w:tcPr>
            <w:tcW w:type="dxa" w:w="7138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Salário-base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1.621,00</w:t>
            </w:r>
          </w:p>
        </w:tc>
      </w:tr>
      <w:tr>
        <w:trPr>
          <w:cantSplit/>
          <w:tblHeader w:val="false"/>
        </w:trPr>
        <w:tc>
          <w:tcPr>
            <w:tcW w:type="dxa" w:w="7138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FGTS (8%)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129,68</w:t>
            </w:r>
          </w:p>
        </w:tc>
      </w:tr>
      <w:tr>
        <w:trPr>
          <w:cantSplit/>
          <w:tblHeader w:val="false"/>
        </w:trPr>
        <w:tc>
          <w:tcPr>
            <w:tcW w:type="dxa" w:w="7138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Provisão de 13º salário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135,08</w:t>
            </w:r>
          </w:p>
        </w:tc>
      </w:tr>
      <w:tr>
        <w:trPr>
          <w:cantSplit/>
          <w:tblHeader w:val="false"/>
        </w:trPr>
        <w:tc>
          <w:tcPr>
            <w:tcW w:type="dxa" w:w="7138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Provisão de férias + 1/3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180,11</w:t>
            </w:r>
          </w:p>
        </w:tc>
      </w:tr>
      <w:tr>
        <w:trPr>
          <w:cantSplit/>
          <w:tblHeader w:val="false"/>
        </w:trPr>
        <w:tc>
          <w:tcPr>
            <w:tcW w:type="dxa" w:w="7138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FGTS sobre 13º e férias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25,22</w:t>
            </w:r>
          </w:p>
        </w:tc>
      </w:tr>
      <w:tr>
        <w:trPr>
          <w:cantSplit/>
          <w:tblHeader w:val="false"/>
        </w:trPr>
        <w:tc>
          <w:tcPr>
            <w:tcW w:type="dxa" w:w="7138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Provisão da multa do FGTS (40%)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61,96</w:t>
            </w:r>
          </w:p>
        </w:tc>
      </w:tr>
      <w:tr>
        <w:trPr>
          <w:cantSplit/>
          <w:tblHeader w:val="false"/>
        </w:trPr>
        <w:tc>
          <w:tcPr>
            <w:tcW w:type="dxa" w:w="7138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shd w:fill="E8F7E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Custo mensal por empregado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shd w:fill="E8F7E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2.153,05</w:t>
            </w:r>
          </w:p>
        </w:tc>
      </w:tr>
    </w:tbl>
    <w:p>
      <w:pPr>
        <w:keepNext w:val="false"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38"/>
        <w:gridCol w:w="2500"/>
        <w:gridCol w:w="2500"/>
      </w:tblGrid>
      <w:tr>
        <w:trPr>
          <w:cantSplit/>
          <w:tblHeader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shd w:fill="1A1A1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Empregados registrados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shd w:fill="1A1A1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Folha/mês (R$)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shd w:fill="1A1A1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Encargos (R$)</w:t>
            </w:r>
          </w:p>
        </w:tc>
      </w:tr>
      <w:tr>
        <w:trPr>
          <w:cantSplit/>
          <w:tblHeader w:val="false"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 registrados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21.530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5.320</w:t>
            </w:r>
          </w:p>
        </w:tc>
      </w:tr>
      <w:tr>
        <w:trPr>
          <w:cantSplit/>
          <w:tblHeader w:val="false"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 registrados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43.061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10.641</w:t>
            </w:r>
          </w:p>
        </w:tc>
      </w:tr>
      <w:tr>
        <w:trPr>
          <w:cantSplit/>
          <w:tblHeader w:val="false"/>
        </w:trPr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 registrados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75.357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5E8" w:sz="6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18.622</w:t>
            </w:r>
          </w:p>
        </w:tc>
      </w:tr>
    </w:tbl>
    <w:p>
      <w:pPr>
        <w:keepNext w:val="false"/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E3E5E8" w:sz="6"/>
              <w:left w:val="single" w:color="E3E5E8" w:sz="6"/>
              <w:bottom w:val="single" w:color="E3E5E8" w:sz="6"/>
              <w:right w:val="single" w:color="E3E5E8" w:sz="6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tbl>
            <w:tblPr>
              <w:tblW w:type="dxa" w:w="92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00"/>
              <w:gridCol w:w="5538"/>
              <w:gridCol w:w="1300"/>
            </w:tblGrid>
            <w:tr>
              <w:tc>
                <w:tcPr>
                  <w:tcW w:type="dxa" w:w="9238"/>
                  <w:gridSpan w:val="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6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60" w:before="0" w:line="27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20"/>
                      <w:szCs w:val="20"/>
                    </w:rPr>
                    <w:t xml:space="preserve">Onde está a economia: custo de cada hora extra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Horista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B6B70"/>
                      <w:sz w:val="15"/>
                      <w:szCs w:val="15"/>
                    </w:rPr>
                    <w:t xml:space="preserve">hora + 50% + DSR</w:t>
                  </w:r>
                </w:p>
              </w:tc>
              <w:tc>
                <w:tcPr>
                  <w:tcW w:type="dxa" w:w="55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tbl>
                  <w:tblPr>
                    <w:tblW w:type="dxa" w:w="553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5538"/>
                  </w:tblGrid>
                  <w:tr>
                    <w:tc>
                      <w:tcPr>
                        <w:tcW w:type="dxa" w:w="553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9A9A9F" w:color="auto" w:val="clear"/>
                        <w:tcMar>
                          <w:top w:type="dxa" w:w="60"/>
                          <w:left w:type="dxa" w:w="0"/>
                          <w:bottom w:type="dxa" w:w="60"/>
                          <w:right w:type="dxa" w:w="0"/>
                        </w:tcMar>
                      </w:tcPr>
                      <w:p>
                        <w:r>
                          <w:rPr>
                            <w:sz w:val="14"/>
                            <w:szCs w:val="14"/>
                          </w:rPr>
                          <w:t xml:space="preserve"> 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 w:before="0" w:line="276"/>
                    <w:jc w:val="righ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9"/>
                      <w:szCs w:val="19"/>
                    </w:rPr>
                    <w:t xml:space="preserve">≈ R$ 17,60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Por produção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B6B70"/>
                      <w:sz w:val="15"/>
                      <w:szCs w:val="15"/>
                    </w:rPr>
                    <w:t xml:space="preserve">só o adicional de 50% + DSR</w:t>
                  </w:r>
                </w:p>
              </w:tc>
              <w:tc>
                <w:tcPr>
                  <w:tcW w:type="dxa" w:w="55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tbl>
                  <w:tblPr>
                    <w:tblW w:type="dxa" w:w="553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1828"/>
                    <w:gridCol w:w="3710"/>
                  </w:tblGrid>
                  <w:tr>
                    <w:tc>
                      <w:tcPr>
                        <w:tcW w:type="dxa" w:w="18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0AF58" w:color="auto" w:val="clear"/>
                        <w:tcMar>
                          <w:top w:type="dxa" w:w="60"/>
                          <w:left w:type="dxa" w:w="0"/>
                          <w:bottom w:type="dxa" w:w="60"/>
                          <w:right w:type="dxa" w:w="0"/>
                        </w:tcMar>
                      </w:tcPr>
                      <w:p>
                        <w:r>
                          <w:rPr>
                            <w:sz w:val="14"/>
                            <w:szCs w:val="14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371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5F6F7" w:color="auto" w:val="clear"/>
                        <w:tcMar>
                          <w:top w:type="dxa" w:w="60"/>
                          <w:left w:type="dxa" w:w="0"/>
                          <w:bottom w:type="dxa" w:w="60"/>
                          <w:right w:type="dxa" w:w="0"/>
                        </w:tcMar>
                      </w:tcPr>
                      <w:p>
                        <w:r>
                          <w:rPr>
                            <w:sz w:val="14"/>
                            <w:szCs w:val="14"/>
                          </w:rPr>
                          <w:t xml:space="preserve"> 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 w:before="0" w:line="276"/>
                    <w:jc w:val="righ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9"/>
                      <w:szCs w:val="19"/>
                    </w:rPr>
                    <w:t xml:space="preserve">≈ R$ 5,90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38"/>
                  <w:gridSpan w:val="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160"/>
                    <w:right w:type="dxa" w:w="0"/>
                  </w:tcMar>
                </w:tcPr>
                <w:p>
                  <w:pPr>
                    <w:spacing w:after="0" w:before="0" w:line="27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B6B70"/>
                      <w:sz w:val="16"/>
                      <w:szCs w:val="16"/>
                    </w:rPr>
                    <w:t xml:space="preserve">Valores por hora extra, com reflexos e encargos, sobre o salário-base. Quem ganha por produção recebe só o adicional sobre as horas extras, porque as peças já remuneram a hora (OJ 235 do TST). A economia chega a cerca de 2/3 do custo.</w:t>
                  </w:r>
                </w:p>
              </w:tc>
            </w:tr>
          </w:tbl>
          <w:p/>
        </w:tc>
      </w:tr>
    </w:tbl>
    <w:p>
      <w:pPr>
        <w:keepNext w:val="false"/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color w:val="6B6B70"/>
          <w:sz w:val="16"/>
          <w:szCs w:val="16"/>
        </w:rPr>
        <w:t xml:space="preserve">Números preliminares, só para dimensionar o trabalho. O estudo da Etapa 2 vai usar os dados reais de cada trabalhador, o piso da Convenção Coletiva e a jornada analisada caso a caso.</w:t>
      </w:r>
    </w:p>
    <w:p>
      <w:pPr>
        <w:keepNext/>
        <w:pBdr>
          <w:bottom w:val="single" w:color="E3E5E8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0AF58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  Prazo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E8F7EF" w:sz="1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color w:val="00AF58"/>
                <w:sz w:val="32"/>
                <w:szCs w:val="32"/>
              </w:rPr>
              <w:t xml:space="preserve">●</w:t>
            </w:r>
          </w:p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Dia 0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6B70"/>
                <w:sz w:val="17"/>
                <w:szCs w:val="17"/>
              </w:rPr>
              <w:t xml:space="preserve">Assinatura e envio das informações</w:t>
            </w:r>
          </w:p>
        </w:tc>
        <w:tc>
          <w:tcPr>
            <w:tcW w:type="dxa" w:w="3212"/>
            <w:tcBorders>
              <w:top w:val="single" w:color="E8F7EF" w:sz="1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color w:val="00AF58"/>
                <w:sz w:val="32"/>
                <w:szCs w:val="32"/>
              </w:rPr>
              <w:t xml:space="preserve">●</w:t>
            </w:r>
          </w:p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Até o dia 10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6B70"/>
                <w:sz w:val="17"/>
                <w:szCs w:val="17"/>
              </w:rPr>
              <w:t xml:space="preserve">Diagnóstico concluído</w:t>
            </w:r>
          </w:p>
        </w:tc>
        <w:tc>
          <w:tcPr>
            <w:tcW w:type="dxa" w:w="3212"/>
            <w:tcBorders>
              <w:top w:val="single" w:color="E8F7EF" w:sz="1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color w:val="00AF58"/>
                <w:sz w:val="32"/>
                <w:szCs w:val="32"/>
              </w:rPr>
              <w:t xml:space="preserve">●</w:t>
            </w:r>
          </w:p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Até o dia 30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6B70"/>
                <w:sz w:val="17"/>
                <w:szCs w:val="17"/>
              </w:rPr>
              <w:t xml:space="preserve">Relatório final e apresentação</w:t>
            </w:r>
          </w:p>
        </w:tc>
      </w:tr>
    </w:tbl>
    <w:p>
      <w:pPr>
        <w:keepNext/>
        <w:pBdr>
          <w:bottom w:val="single" w:color="E3E5E8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0AF58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  Investimento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19"/>
        <w:gridCol w:w="200"/>
        <w:gridCol w:w="4719"/>
      </w:tblGrid>
      <w:tr>
        <w:tc>
          <w:tcPr>
            <w:tcW w:type="dxa" w:w="4719"/>
            <w:tcBorders>
              <w:top w:val="single" w:color="E3E5E8" w:sz="6"/>
              <w:left w:val="single" w:color="E3E5E8" w:sz="6"/>
              <w:bottom w:val="single" w:color="E3E5E8" w:sz="6"/>
              <w:right w:val="single" w:color="E3E5E8" w:sz="6"/>
            </w:tcBorders>
            <w:tcMar>
              <w:top w:type="dxa" w:w="240"/>
              <w:left w:type="dxa" w:w="28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6B70"/>
                <w:spacing w:val="30"/>
                <w:sz w:val="15"/>
                <w:szCs w:val="15"/>
              </w:rPr>
              <w:t xml:space="preserve">PLANEJAMENTO COMPLETO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46"/>
                <w:szCs w:val="46"/>
              </w:rPr>
              <w:t xml:space="preserve">R$ 4.800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6B6B70"/>
                <w:sz w:val="17"/>
                <w:szCs w:val="17"/>
              </w:rPr>
              <w:t xml:space="preserve">50% na assinatura e 50% na entrega, ou 3× de R$ 1.600,00</w:t>
            </w:r>
          </w:p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  <w:shd w:fill="F5F6F7" w:color="auto" w:val="clear"/>
              </w:rPr>
              <w:t xml:space="preserve">  Metabase: R$ 2.400  </w:t>
            </w:r>
            <w:r>
              <w:rPr>
                <w:sz w:val="16"/>
                <w:szCs w:val="16"/>
              </w:rPr>
              <w:t xml:space="preserve">   </w:t>
            </w:r>
            <w:r>
              <w:rPr>
                <w:rFonts w:ascii="Calibri" w:cs="Calibri" w:eastAsia="Calibri" w:hAnsi="Calibri"/>
                <w:color w:val="1A1A1A"/>
                <w:sz w:val="16"/>
                <w:szCs w:val="16"/>
                <w:shd w:fill="F5F6F7" w:color="auto" w:val="clear"/>
              </w:rPr>
              <w:t xml:space="preserve">  Arnessen: R$ 2.400 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t xml:space="preserve"/>
            </w:r>
          </w:p>
        </w:tc>
        <w:tc>
          <w:tcPr>
            <w:tcW w:type="dxa" w:w="4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color="auto" w:val="clear"/>
            <w:tcMar>
              <w:top w:type="dxa" w:w="240"/>
              <w:left w:type="dxa" w:w="28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AF58"/>
                <w:spacing w:val="30"/>
                <w:sz w:val="15"/>
                <w:szCs w:val="15"/>
              </w:rPr>
              <w:t xml:space="preserve">CONDIÇÃO ESPECIAL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AF58"/>
                <w:sz w:val="46"/>
                <w:szCs w:val="46"/>
              </w:rPr>
              <w:t xml:space="preserve">R$ 4.000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C9CBCF"/>
                <w:sz w:val="17"/>
                <w:szCs w:val="17"/>
              </w:rPr>
              <w:t xml:space="preserve">Contratando também o acompanhamento mensal (Proposta nº 002/2026) até a entrega do relatório. As admissões iniciais ficam isentas da taxa de implantação.</w:t>
            </w:r>
          </w:p>
          <w:p>
            <w:r>
              <w:rPr>
                <w:rFonts w:ascii="Calibri" w:cs="Calibri" w:eastAsia="Calibri" w:hAnsi="Calibri"/>
                <w:color w:val="E6E6E6"/>
                <w:sz w:val="16"/>
                <w:szCs w:val="16"/>
                <w:shd w:fill="2C2C2E" w:color="auto" w:val="clear"/>
              </w:rPr>
              <w:t xml:space="preserve">  Metabase: R$ 2.000  </w:t>
            </w:r>
            <w:r>
              <w:rPr>
                <w:sz w:val="16"/>
                <w:szCs w:val="16"/>
              </w:rPr>
              <w:t xml:space="preserve">   </w:t>
            </w:r>
            <w:r>
              <w:rPr>
                <w:rFonts w:ascii="Calibri" w:cs="Calibri" w:eastAsia="Calibri" w:hAnsi="Calibri"/>
                <w:color w:val="E6E6E6"/>
                <w:sz w:val="16"/>
                <w:szCs w:val="16"/>
                <w:shd w:fill="2C2C2E" w:color="auto" w:val="clear"/>
              </w:rPr>
              <w:t xml:space="preserve">  Arnessen: R$ 2.000  </w:t>
            </w:r>
          </w:p>
        </w:tc>
      </w:tr>
    </w:tbl>
    <w:p>
      <w:pPr>
        <w:keepNext w:val="false"/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color w:val="6B6B70"/>
          <w:sz w:val="16"/>
          <w:szCs w:val="16"/>
        </w:rPr>
        <w:t xml:space="preserve">Cada profissional emite seu próprio contrato e documento fiscal pela sua parte. A divisão segue as regras do CFC, para a contabilidade, e do Estatuto da Advocacia e Código de Ética da OAB, para a advocacia.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pBdr>
                <w:bottom w:val="single" w:color="E3E5E8" w:sz="8"/>
              </w:pBdr>
              <w:spacing w:after="160" w:before="3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00AF58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6"/>
                <w:szCs w:val="26"/>
              </w:rPr>
              <w:t xml:space="preserve">  Responsabilidades da contratante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Fornecer a relação dos trabalhadores e os dados de pagamento, produção e jornada dos últimos meses.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Permitir o acesso à fábrica para a visita técnica e indicar um responsável interno.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Prestar informações verdadeiras e completas. As recomendações dependem delas.</w:t>
            </w:r>
          </w:p>
          <w:p>
            <w:pPr>
              <w:keepNext w:val="false"/>
              <w:spacing w:after="600"/>
            </w:pPr>
          </w:p>
          <w:tbl>
            <w:tblPr>
              <w:tblW w:type="dxa" w:w="9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012"/>
              <w:gridCol w:w="300"/>
              <w:gridCol w:w="3012"/>
              <w:gridCol w:w="300"/>
              <w:gridCol w:w="3012"/>
            </w:tblGrid>
            <w:tr>
              <w:trPr>
                <w:cantSplit/>
              </w:trPr>
              <w:tc>
                <w:tcPr>
                  <w:tcW w:type="dxa" w:w="3012"/>
                  <w:tcBorders>
                    <w:top w:val="single" w:color="1A1A1A" w:sz="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MARMA LTDA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B6B70"/>
                      <w:sz w:val="15"/>
                      <w:szCs w:val="15"/>
                    </w:rPr>
                    <w:t xml:space="preserve">Contratante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3012"/>
                  <w:tcBorders>
                    <w:top w:val="single" w:color="1A1A1A" w:sz="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Estêvão Fernandes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B6B70"/>
                      <w:sz w:val="15"/>
                      <w:szCs w:val="15"/>
                    </w:rPr>
                    <w:t xml:space="preserve">Contador · CRC/PE 028.529 · Metabase Contabilidade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3012"/>
                  <w:tcBorders>
                    <w:top w:val="single" w:color="1A1A1A" w:sz="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Arnessen Cintra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6B6B70"/>
                      <w:sz w:val="15"/>
                      <w:szCs w:val="15"/>
                    </w:rPr>
                    <w:t xml:space="preserve">Advogado · OAB/PE 70.236 · Arnessen Cintra Advocacia</w:t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1000" w:right="1134" w:bottom="1000" w:left="1134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5E8" w:sz="6"/>
      </w:pBdr>
      <w:spacing w:before="100"/>
      <w:jc w:val="center"/>
    </w:pPr>
    <w:r>
      <w:rPr>
        <w:rFonts w:ascii="Calibri" w:cs="Calibri" w:eastAsia="Calibri" w:hAnsi="Calibri"/>
        <w:b/>
        <w:bCs/>
        <w:color w:val="008A45"/>
        <w:sz w:val="15"/>
        <w:szCs w:val="15"/>
      </w:rPr>
      <w:t xml:space="preserve">Metabase Contabilidade</w:t>
    </w:r>
    <w:r>
      <w:rPr>
        <w:rFonts w:ascii="Calibri" w:cs="Calibri" w:eastAsia="Calibri" w:hAnsi="Calibri"/>
        <w:color w:val="6B6B70"/>
        <w:sz w:val="15"/>
        <w:szCs w:val="15"/>
      </w:rPr>
      <w:t xml:space="preserve"> · desde 2015     |     </w:t>
    </w:r>
    <w:r>
      <w:rPr>
        <w:rFonts w:ascii="Calibri" w:cs="Calibri" w:eastAsia="Calibri" w:hAnsi="Calibri"/>
        <w:b/>
        <w:bCs/>
        <w:color w:val="3C3A3D"/>
        <w:sz w:val="15"/>
        <w:szCs w:val="15"/>
      </w:rPr>
      <w:t xml:space="preserve">Arnessen Cintra Advocacia</w:t>
    </w:r>
    <w:r>
      <w:rPr>
        <w:rFonts w:ascii="Calibri" w:cs="Calibri" w:eastAsia="Calibri" w:hAnsi="Calibri"/>
        <w:color w:val="6B6B70"/>
        <w:sz w:val="15"/>
        <w:szCs w:val="15"/>
      </w:rPr>
      <w:t xml:space="preserve"> · OAB/PE 70.236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  <w:rPr>
        <w:color w:val="00AF5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07e453caa5cd4c0c54cfa4683259d141f0d6b2d.png"/><Relationship Id="rId9" Type="http://schemas.openxmlformats.org/officeDocument/2006/relationships/image" Target="media/cae3941cb6bd611b305a314469edf5cda0a7ca6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Metabase Contabilidade</dc:creator>
  <cp:lastModifiedBy>Un-named</cp:lastModifiedBy>
  <cp:revision>1</cp:revision>
  <dcterms:created xsi:type="dcterms:W3CDTF">2026-10-20T13:35:22.730Z</dcterms:created>
  <dcterms:modified xsi:type="dcterms:W3CDTF">2026-10-20T13:35:22.736Z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