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600"/>
        <w:gridCol w:w="44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r>
              <w:drawing>
                <wp:inline distT="0" distB="0" distL="0" distR="0">
                  <wp:extent cx="1152525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>
              <w:top w:val="none" w:color="FFFFFF" w:sz="0"/>
              <w:left w:val="single" w:color="E3E5E8" w:sz="8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1019175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Proposta nº 002/2026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6"/>
                <w:szCs w:val="16"/>
              </w:rPr>
              <w:t xml:space="preserve">Contabilidade + Advocacia em parceria</w:t>
            </w:r>
          </w:p>
        </w:tc>
      </w:tr>
    </w:tbl>
    <w:p>
      <w:pPr>
        <w:keepNext w:val="false"/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AF58" w:sz="48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300"/>
              <w:left w:type="dxa" w:w="4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AF58"/>
                <w:spacing w:val="40"/>
                <w:sz w:val="15"/>
                <w:szCs w:val="15"/>
              </w:rPr>
              <w:t xml:space="preserve">PROPOSTA COMERCIAL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Acompanhamento Mensal</w:t>
            </w:r>
          </w:p>
          <w:p>
            <w:r>
              <w:rPr>
                <w:rFonts w:ascii="Calibri" w:cs="Calibri" w:eastAsia="Calibri" w:hAnsi="Calibri"/>
                <w:color w:val="C9CBCF"/>
                <w:sz w:val="20"/>
                <w:szCs w:val="20"/>
              </w:rPr>
              <w:t xml:space="preserve">Contabilidade, Departamento Pessoal e Assessoria Jurídica Trabalhista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3E5E8" w:sz="6"/>
              <w:right w:val="single" w:color="E3E5E8" w:sz="6"/>
            </w:tcBorders>
            <w:tcMar>
              <w:top w:type="dxa" w:w="140"/>
              <w:left w:type="dxa" w:w="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B6B70"/>
                <w:spacing w:val="30"/>
                <w:sz w:val="14"/>
                <w:szCs w:val="14"/>
              </w:rPr>
              <w:t xml:space="preserve">CLIENTE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MARMA LTDA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7"/>
                <w:szCs w:val="17"/>
              </w:rPr>
              <w:t xml:space="preserve">CNPJ 67.699.385/0001-06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3E5E8" w:sz="6"/>
              <w:right w:val="single" w:color="E3E5E8" w:sz="6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B6B70"/>
                <w:spacing w:val="30"/>
                <w:sz w:val="14"/>
                <w:szCs w:val="14"/>
              </w:rPr>
              <w:t xml:space="preserve">DATA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20/10/2026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7"/>
                <w:szCs w:val="17"/>
              </w:rPr>
              <w:t xml:space="preserve">Santa Cruz do Capibaribe/PE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B6B70"/>
                <w:spacing w:val="30"/>
                <w:sz w:val="14"/>
                <w:szCs w:val="14"/>
              </w:rPr>
              <w:t xml:space="preserve">VALIDADE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15 dias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7"/>
                <w:szCs w:val="17"/>
              </w:rPr>
              <w:t xml:space="preserve">Vigência: prazo indeterminado</w:t>
            </w:r>
          </w:p>
        </w:tc>
      </w:tr>
    </w:tbl>
    <w:p>
      <w:pPr>
        <w:keepNext w:val="false"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AF58" w:sz="24"/>
              <w:bottom w:val="none" w:color="FFFFFF" w:sz="0"/>
              <w:right w:val="none" w:color="FFFFFF" w:sz="0"/>
            </w:tcBorders>
            <w:shd w:fill="F5F6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Versão válida.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Esta Proposta nº 002/2026 é a versão oficial. A versão em espanhol é apresentada apenas para facilitar o entendimento; qualquer dúvida será esclarecida pela versão em português.</w:t>
            </w:r>
          </w:p>
        </w:tc>
      </w:tr>
    </w:tbl>
    <w:p>
      <w:pPr>
        <w:keepNext/>
        <w:pBdr>
          <w:bottom w:val="single" w:color="E3E5E8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AF58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  Objetivo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Depois do planejamento, a MARMA precisa de acompanhamento contínuo. A empresa vai crescer o quadro de empregados por etapas e deve manter a folha, os impostos e as rotinas trabalhistas em dia, com orientação jurídica preventiva para não criar passivo.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Metabase Contabilidade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e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Arnessen Cintra Advocacia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fazem esse acompanhamento de forma integrada.</w:t>
      </w:r>
    </w:p>
    <w:p>
      <w:pPr>
        <w:keepNext/>
        <w:pBdr>
          <w:bottom w:val="single" w:color="E3E5E8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AF58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  Serviços incluídos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19"/>
        <w:gridCol w:w="200"/>
        <w:gridCol w:w="4719"/>
      </w:tblGrid>
      <w:tr>
        <w:tc>
          <w:tcPr>
            <w:tcW w:type="dxa" w:w="4719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8A45"/>
                <w:spacing w:val="30"/>
                <w:sz w:val="15"/>
                <w:szCs w:val="15"/>
              </w:rPr>
              <w:t xml:space="preserve">CONTABILIDADE E FISCAL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Empresa em dia com o fisco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8A45"/>
                <w:sz w:val="14"/>
                <w:szCs w:val="14"/>
                <w:shd w:fill="E8F7EF" w:color="auto" w:val="clear"/>
              </w:rPr>
              <w:t xml:space="preserve">  METABASE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Apuração do Simples Nacional (PGDAS-D – Anexo II) e emissão do DAS. Controle do faturamento e dos limites do Simples.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Obrigações junto à SEFAZ-PE e acompanhamento de regimes especiais de ICMS do setor de confecções.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DEFIS e informe de rendimentos.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Distribuição de lucros, pró-labore e orientação tributária.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Certidões negativas e regularidade fiscal.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4719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8A45"/>
                <w:spacing w:val="30"/>
                <w:sz w:val="15"/>
                <w:szCs w:val="15"/>
              </w:rPr>
              <w:t xml:space="preserve">DEPARTAMENTO PESSOAL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Folha correta todo mês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8A45"/>
                <w:sz w:val="14"/>
                <w:szCs w:val="14"/>
                <w:shd w:fill="E8F7EF" w:color="auto" w:val="clear"/>
              </w:rPr>
              <w:t xml:space="preserve">  METABASE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Folha mensal com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cálculo da produção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, garantia do piso, DSR e horas extras conforme o modelo do planejamento.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Admissões, experiências, férias, 13º, afastamentos e rescisões.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eSocial (incluindo SST), FGTS Digital, DCTFWeb e guias.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Conferência do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espelho de ponto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 e do banco de horas, com alertas sobre jornada e horas extras.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Controle de vencimentos de férias, experiências e exames periódicos.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Obrigações anuais e informe de rendimentos dos empregados.</w:t>
            </w:r>
          </w:p>
        </w:tc>
      </w:tr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9638"/>
            <w:gridSpan w:val="3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8A45"/>
                <w:spacing w:val="30"/>
                <w:sz w:val="15"/>
                <w:szCs w:val="15"/>
              </w:rPr>
              <w:t xml:space="preserve">ASSESSORIA JURÍDICA TRABALHISTA PREVENTIVA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Prevenção antes do problema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3C3A3D"/>
                <w:sz w:val="14"/>
                <w:szCs w:val="14"/>
                <w:shd w:fill="ECECEE" w:color="auto" w:val="clear"/>
              </w:rPr>
              <w:t xml:space="preserve">  ARNESSEN CINTRA ADVOCACIA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Consultoria preventiva ilimitada por WhatsApp, e-mail ou reunião: contratações, jornada, produção, advertências, suspensões e demissões.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Revisão e atualização dos contratos, acordos de compensação/banco de horas, regulamento interno e termos individuais.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Regulamento Interno da Empresa: criação do código de conduta interno, com regras de vestimenta, uso de EPIs, pontualidade e penalidades (advertências e suspensões).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reunião trimestral de revisão de riscos, junto com a contabilidade.</w:t>
            </w:r>
          </w:p>
        </w:tc>
      </w:tr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9638"/>
            <w:gridSpan w:val="3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8A45"/>
                <w:spacing w:val="30"/>
                <w:sz w:val="15"/>
                <w:szCs w:val="15"/>
              </w:rPr>
              <w:t xml:space="preserve">ASSESSORIA JURÍDICA TRABALHISTA AD JUDICIA ET EXTRA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Defesa da empresa dentro e fora do Judiciário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3C3A3D"/>
                <w:sz w:val="14"/>
                <w:szCs w:val="14"/>
                <w:shd w:fill="ECECEE" w:color="auto" w:val="clear"/>
              </w:rPr>
              <w:t xml:space="preserve">  ARNESSEN CINTRA ADVOCACIA  </w:t>
            </w:r>
          </w:p>
          <w:p>
            <w:pPr>
              <w:spacing w:after="60" w:before="8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a) Advocacia Trabalhista Extrajudicial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Atendimento a fiscalizações do Ministério do Trabalho e defesa administrativa de autos de infração.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Relacionamento com o sindicato e análise anual da nova Convenção Coletiva.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Homologação de acordo extrajudicial.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Mediação no Ministério Público do Trabalho: atuação em inquéritos civis ou mediações perante o MPT para assinatura de TACs.</w:t>
            </w:r>
          </w:p>
          <w:p>
            <w:pPr>
              <w:spacing w:after="60" w:before="8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b) Advocacia Trabalhista Judicial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Elaboração de defesas estratégicas (contestações).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Propositura de reconvenção: quando o ex-funcionário causou prejuízos materiais ou financeiros à empresa, cobrança desses valores no próprio processo.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Gestão de provas e instrução processual; preparação de testemunhas e prepostos.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Acompanhamento em audiências iniciais, de conciliação e de instrução (presenciais ou virtuais).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Acompanhamento de perícias judiciais; impugnação e auditoria de cálculos judiciais.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Relatórios de contingência trabalhista: status de cada processo e risco de perda (provável, possível ou remota), para apoiar o provisionamento financeiro.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Auditoria de acordos em andamento: controle e emissão de guias dos acordos parcelados, evitando multas por atraso.</w:t>
            </w:r>
          </w:p>
        </w:tc>
      </w:tr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keepNext/>
        <w:pBdr>
          <w:bottom w:val="single" w:color="E3E5E8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AF58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  Investimento mensal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19"/>
        <w:gridCol w:w="200"/>
        <w:gridCol w:w="47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240"/>
              <w:left w:type="dxa" w:w="28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AF58"/>
                <w:spacing w:val="30"/>
                <w:sz w:val="15"/>
                <w:szCs w:val="15"/>
              </w:rPr>
              <w:t xml:space="preserve">FASE INICIAL · ATÉ 10 EMPREGADOS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AF58"/>
                <w:sz w:val="34"/>
                <w:szCs w:val="34"/>
              </w:rPr>
              <w:t xml:space="preserve">2,5 salários mínimos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C9CBCF"/>
                <w:sz w:val="17"/>
                <w:szCs w:val="17"/>
              </w:rPr>
              <w:t xml:space="preserve">R$ 4.052,50 por mês em 2026, com contabilidade, fiscal, DP e jurídico (preventivo, extrajudicial e judicial) incluídos.</w:t>
            </w:r>
          </w:p>
          <w:p>
            <w:r>
              <w:rPr>
                <w:rFonts w:ascii="Calibri" w:cs="Calibri" w:eastAsia="Calibri" w:hAnsi="Calibri"/>
                <w:color w:val="E6E6E6"/>
                <w:sz w:val="16"/>
                <w:szCs w:val="16"/>
                <w:shd w:fill="2C2C2E" w:color="auto" w:val="clear"/>
              </w:rPr>
              <w:t xml:space="preserve">  Metabase: R$ 1.215,75  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color w:val="E6E6E6"/>
                <w:sz w:val="16"/>
                <w:szCs w:val="16"/>
                <w:shd w:fill="2C2C2E" w:color="auto" w:val="clear"/>
              </w:rPr>
              <w:t xml:space="preserve">  Arnessen Cintra Advocacia: R$ 2.836,75 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4719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240"/>
              <w:left w:type="dxa" w:w="28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6B70"/>
                <w:spacing w:val="30"/>
                <w:sz w:val="15"/>
                <w:szCs w:val="15"/>
              </w:rPr>
              <w:t xml:space="preserve">CRESCIMENTO DO QUADRO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0"/>
                <w:szCs w:val="30"/>
              </w:rPr>
              <w:t xml:space="preserve">Reajuste negociado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7"/>
                <w:szCs w:val="17"/>
              </w:rPr>
              <w:t xml:space="preserve">O valor de 2,5 salários mínimos vale para até 10 empregados registrados. Se o quadro passar disso, o honorário terá reajuste negociado em comum acordo, proporcional ao volume de serviço.</w:t>
            </w:r>
          </w:p>
        </w:tc>
      </w:tr>
    </w:tbl>
    <w:p>
      <w:pPr>
        <w:keepNext w:val="false"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3000"/>
        <w:gridCol w:w="2000"/>
      </w:tblGrid>
      <w:tr>
        <w:trPr>
          <w:cantSplit/>
          <w:tblHeader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1A1A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Serviço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1A1A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1A1A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 mensal (R$)</w:t>
            </w:r>
          </w:p>
        </w:tc>
      </w:tr>
      <w:tr>
        <w:trPr>
          <w:cantSplit/>
          <w:tblHeader w:val="false"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Contabilidade, Fiscal e Departamento Pessoal (¾ de salário mínimo)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Metabase Contabilidade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1.215,75</w:t>
            </w:r>
          </w:p>
        </w:tc>
      </w:tr>
      <w:tr>
        <w:trPr>
          <w:cantSplit/>
          <w:tblHeader w:val="false"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Assessoria Jurídica Trabalhista Preventiva (¾ de salário mínimo)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Arnessen Cintra Advocacia – OAB/PE 70.236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1.215,75</w:t>
            </w:r>
          </w:p>
        </w:tc>
      </w:tr>
      <w:tr>
        <w:trPr>
          <w:cantSplit/>
          <w:tblHeader w:val="false"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Assessoria Jurídica Trabalhista Ad Judicia et Extra (1 salário mínimo)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Arnessen Cintra Advocacia – OAB/PE 70.236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1.621,00</w:t>
            </w:r>
          </w:p>
        </w:tc>
      </w:tr>
      <w:tr>
        <w:trPr>
          <w:cantSplit/>
          <w:tblHeader w:val="false"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E8F7E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Total mensal (2,5 salários mínimos)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E8F7E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E8F7E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4.052,50</w:t>
            </w:r>
          </w:p>
        </w:tc>
      </w:tr>
    </w:tbl>
    <w:p>
      <w:pPr>
        <w:spacing w:after="120" w:before="200" w:line="276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Condições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Vencimento: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dia 05 do mês subsequente ao da prestação do serviço.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13ª parcela: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em dezembro, parcela adicional da parte contábil (R$ 1.215,75), para o 13º salário e a DEFIS.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Taxa de implantação: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R$ 40,00 por admissão no lançamento inicial. Isenta se o planejamento (Proposta nº 001/2026) também for contratado.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Reuniões: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reuniões online sem limite. Uma reunião presencial por mês, quando solicitada; a partir da segunda reunião presencial no mês, é cobrado o custo de deslocamento.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Reajuste: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anual e automático, acompanhando o salário mínimo nacional, independente de eventual renegociação por volume.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Vigência: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prazo indeterminado, com 30 dias de aviso prévio para encerramento por qualquer das partes.</w:t>
      </w:r>
    </w:p>
    <w:p>
      <w:pPr>
        <w:keepNext w:val="false"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6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Não incluídos (orçados à parte):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balanço patrimonial, balancetes e DRE, elaborados sob demanda com custo adicional; recuperação de períodos anteriores à contratação; regularização de pendências fiscais antigas; e custos de terceiros, como médico do trabalho, PGR/PCMSO, sistema de ponto, certificado digital, taxas e emolumentos.</w:t>
            </w:r>
          </w:p>
        </w:tc>
      </w:tr>
    </w:tbl>
    <w:p>
      <w:pPr>
        <w:keepNext w:val="false"/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6B6B70"/>
          <w:sz w:val="16"/>
          <w:szCs w:val="16"/>
        </w:rPr>
        <w:t xml:space="preserve">Cada profissional emite seu próprio contrato e documento fiscal pela sua parte. A divisão segue as regras do CFC, para a contabilidade, e do Estatuto da Advocacia e Código de Ética da OAB, para a advocacia. A proposta é apresentada em conjunto para facilitar a gestão da contratante.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E3E5E8" w:sz="8"/>
              </w:pBdr>
              <w:spacing w:after="160" w:before="3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00AF58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6"/>
                <w:szCs w:val="26"/>
              </w:rPr>
              <w:t xml:space="preserve">  Responsabilidades da contratante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Enviar até o dia 25 de cada mês as informações para a folha: produção por empregado, ponto, faltas, admissões e desligamentos.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Enviar as notas fiscais do mês até o dia 5 do mês seguinte.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Consultar a assessoria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antes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de admitir, demitir ou mudar jornada e forma de pagamento.</w:t>
            </w:r>
          </w:p>
          <w:p>
            <w:pPr>
              <w:keepNext w:val="false"/>
              <w:spacing w:after="600"/>
            </w:pP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012"/>
              <w:gridCol w:w="300"/>
              <w:gridCol w:w="3012"/>
              <w:gridCol w:w="300"/>
              <w:gridCol w:w="3012"/>
            </w:tblGrid>
            <w:tr>
              <w:trPr>
                <w:cantSplit/>
              </w:trPr>
              <w:tc>
                <w:tcPr>
                  <w:tcW w:type="dxa" w:w="3012"/>
                  <w:tcBorders>
                    <w:top w:val="single" w:color="1A1A1A" w:sz="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MARMA LTDA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6B70"/>
                      <w:sz w:val="15"/>
                      <w:szCs w:val="15"/>
                    </w:rPr>
                    <w:t xml:space="preserve">Contratante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012"/>
                  <w:tcBorders>
                    <w:top w:val="single" w:color="1A1A1A" w:sz="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Estêvão Fernandes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6B70"/>
                      <w:sz w:val="15"/>
                      <w:szCs w:val="15"/>
                    </w:rPr>
                    <w:t xml:space="preserve">Contador · CRC/PE 028.529 · Metabase Contabilidade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012"/>
                  <w:tcBorders>
                    <w:top w:val="single" w:color="1A1A1A" w:sz="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Arnessen Cintra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6B70"/>
                      <w:sz w:val="15"/>
                      <w:szCs w:val="15"/>
                    </w:rPr>
                    <w:t xml:space="preserve">Advogado · OAB/PE 70.236 · Arnessen Cintra Advocacia</w:t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1000" w:right="1134" w:bottom="1000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5E8" w:sz="6"/>
      </w:pBdr>
      <w:spacing w:before="100"/>
      <w:jc w:val="center"/>
    </w:pPr>
    <w:r>
      <w:rPr>
        <w:rFonts w:ascii="Calibri" w:cs="Calibri" w:eastAsia="Calibri" w:hAnsi="Calibri"/>
        <w:b/>
        <w:bCs/>
        <w:color w:val="008A45"/>
        <w:sz w:val="15"/>
        <w:szCs w:val="15"/>
      </w:rPr>
      <w:t xml:space="preserve">Metabase Contabilidade</w:t>
    </w:r>
    <w:r>
      <w:rPr>
        <w:rFonts w:ascii="Calibri" w:cs="Calibri" w:eastAsia="Calibri" w:hAnsi="Calibri"/>
        <w:color w:val="6B6B70"/>
        <w:sz w:val="15"/>
        <w:szCs w:val="15"/>
      </w:rPr>
      <w:t xml:space="preserve"> · desde 2015     |     </w:t>
    </w:r>
    <w:r>
      <w:rPr>
        <w:rFonts w:ascii="Calibri" w:cs="Calibri" w:eastAsia="Calibri" w:hAnsi="Calibri"/>
        <w:b/>
        <w:bCs/>
        <w:color w:val="3C3A3D"/>
        <w:sz w:val="15"/>
        <w:szCs w:val="15"/>
      </w:rPr>
      <w:t xml:space="preserve">Arnessen Cintra Advocacia</w:t>
    </w:r>
    <w:r>
      <w:rPr>
        <w:rFonts w:ascii="Calibri" w:cs="Calibri" w:eastAsia="Calibri" w:hAnsi="Calibri"/>
        <w:color w:val="6B6B70"/>
        <w:sz w:val="15"/>
        <w:szCs w:val="15"/>
      </w:rPr>
      <w:t xml:space="preserve"> · OAB/PE 70.236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00AF5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7e453caa5cd4c0c54cfa4683259d141f0d6b2d.png"/><Relationship Id="rId9" Type="http://schemas.openxmlformats.org/officeDocument/2006/relationships/image" Target="media/cae3941cb6bd611b305a314469edf5cda0a7ca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Metabase Contabilidade</dc:creator>
  <cp:lastModifiedBy>Un-named</cp:lastModifiedBy>
  <cp:revision>1</cp:revision>
  <dcterms:created xsi:type="dcterms:W3CDTF">2026-10-20T13:35:22.768Z</dcterms:created>
  <dcterms:modified xsi:type="dcterms:W3CDTF">2026-10-20T13:35:22.768Z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