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42A5B">
      <w:pPr>
        <w:spacing w:before="1100"/>
        <w:jc w:val="center"/>
      </w:pPr>
      <w:bookmarkStart w:id="0" w:name="_GoBack"/>
      <w:bookmarkEnd w:id="0"/>
      <w:r>
        <w:rPr>
          <w:b/>
          <w:sz w:val="34"/>
        </w:rPr>
        <w:t>ANALYSTLAB AFRICA</w:t>
      </w:r>
    </w:p>
    <w:p w14:paraId="4A5A479B">
      <w:pPr>
        <w:jc w:val="center"/>
      </w:pPr>
      <w:r>
        <w:rPr>
          <w:sz w:val="22"/>
        </w:rPr>
        <w:t>Experience Lab Internship Programme</w:t>
      </w:r>
    </w:p>
    <w:p w14:paraId="6F37B520">
      <w:pPr>
        <w:spacing w:before="440"/>
        <w:jc w:val="center"/>
      </w:pPr>
      <w:r>
        <w:rPr>
          <w:b/>
          <w:sz w:val="48"/>
        </w:rPr>
        <w:t>WEEK 5 PROJECT SUMMARY</w:t>
      </w:r>
    </w:p>
    <w:p w14:paraId="52BDE62F">
      <w:pPr>
        <w:jc w:val="center"/>
      </w:pPr>
      <w:r>
        <w:rPr>
          <w:b/>
          <w:sz w:val="36"/>
        </w:rPr>
        <w:t>HealthConnect Clinic</w:t>
      </w:r>
    </w:p>
    <w:p w14:paraId="2F0C68B0">
      <w:pPr>
        <w:spacing w:before="200"/>
        <w:jc w:val="center"/>
      </w:pPr>
      <w:r>
        <w:rPr>
          <w:sz w:val="24"/>
        </w:rPr>
        <w:t>Data Analytics Track</w:t>
      </w:r>
    </w:p>
    <w:p w14:paraId="1E2CD9B4">
      <w:pPr>
        <w:spacing w:before="700"/>
        <w:jc w:val="center"/>
      </w:pPr>
      <w:r>
        <w:rPr>
          <w:sz w:val="22"/>
        </w:rPr>
        <w:t>Exploratory Analysis • KPI Development • Business Insights</w:t>
      </w:r>
    </w:p>
    <w:p w14:paraId="5EA009B3">
      <w:r>
        <w:br w:type="page"/>
      </w:r>
    </w:p>
    <w:p w14:paraId="5A3F183E">
      <w:pPr>
        <w:pStyle w:val="2"/>
      </w:pPr>
      <w:r>
        <w:t>1. Week 5 Overview</w:t>
      </w:r>
    </w:p>
    <w:p w14:paraId="7F79CF1A">
      <w:r>
        <w:t>Week 5 moved the HealthConnect Data Analytics track from the Week 4 planning and initial assessment stage into practical analysis and initial implementation. The work focused on preparing and validating the appointment dataset, conducting exploratory analysis, calculating selected KPIs, developing an initial Power BI analytical dashboard, and translating the findings into business insights and recommendations.</w:t>
      </w:r>
    </w:p>
    <w:p w14:paraId="0C7244FA">
      <w:r>
        <w:t>The Week 5 assignment specifically requires the Data Analytics track to complete data preparation, exploratory analysis, KPI development, an initial dashboard or analytical visualisation, and at least five meaningful business insights. The project summary is intended to complement the main analytics report rather than repeat it.</w:t>
      </w:r>
    </w:p>
    <w:p w14:paraId="4E65B657">
      <w:pPr>
        <w:pStyle w:val="2"/>
      </w:pPr>
      <w:r>
        <w:t>2. What I Planned to Accomplish in Week 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6B0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51419226">
            <w:pPr>
              <w:spacing w:after="0" w:line="240" w:lineRule="auto"/>
            </w:pPr>
            <w:r>
              <w:rPr>
                <w:b/>
                <w:sz w:val="17"/>
              </w:rPr>
              <w:t>Planned Activity</w:t>
            </w:r>
          </w:p>
        </w:tc>
        <w:tc>
          <w:tcPr>
            <w:tcW w:w="5040" w:type="dxa"/>
            <w:shd w:val="clear" w:color="auto" w:fill="D9EAF7"/>
          </w:tcPr>
          <w:p w14:paraId="0A85B177">
            <w:pPr>
              <w:spacing w:after="0" w:line="240" w:lineRule="auto"/>
            </w:pPr>
            <w:r>
              <w:rPr>
                <w:b/>
                <w:sz w:val="17"/>
              </w:rPr>
              <w:t>Purpose</w:t>
            </w:r>
          </w:p>
        </w:tc>
      </w:tr>
      <w:tr w14:paraId="7139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173451C">
            <w:pPr>
              <w:spacing w:after="0" w:line="240" w:lineRule="auto"/>
            </w:pPr>
            <w:r>
              <w:rPr>
                <w:sz w:val="17"/>
              </w:rPr>
              <w:t>Review Week 4 foundation</w:t>
            </w:r>
          </w:p>
        </w:tc>
        <w:tc>
          <w:tcPr>
            <w:tcW w:w="5040" w:type="dxa"/>
            <w:vAlign w:val="center"/>
          </w:tcPr>
          <w:p w14:paraId="5643BF15">
            <w:pPr>
              <w:spacing w:after="0" w:line="240" w:lineRule="auto"/>
            </w:pPr>
            <w:r>
              <w:rPr>
                <w:sz w:val="17"/>
              </w:rPr>
              <w:t>Carry the defined HealthConnect problem and proposed analytical approach into practical work.</w:t>
            </w:r>
          </w:p>
        </w:tc>
      </w:tr>
      <w:tr w14:paraId="6DC3D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2A1877C">
            <w:pPr>
              <w:spacing w:after="0" w:line="240" w:lineRule="auto"/>
            </w:pPr>
            <w:r>
              <w:rPr>
                <w:sz w:val="17"/>
              </w:rPr>
              <w:t>Prepare and validate the appointment dataset</w:t>
            </w:r>
          </w:p>
        </w:tc>
        <w:tc>
          <w:tcPr>
            <w:tcW w:w="5040" w:type="dxa"/>
            <w:vAlign w:val="center"/>
          </w:tcPr>
          <w:p w14:paraId="1C7598C7">
            <w:pPr>
              <w:spacing w:after="0" w:line="240" w:lineRule="auto"/>
            </w:pPr>
            <w:r>
              <w:rPr>
                <w:sz w:val="17"/>
              </w:rPr>
              <w:t>Check variables, data types, missing values, duplicates and inconsistent values without overwriting the original dataset.</w:t>
            </w:r>
          </w:p>
        </w:tc>
      </w:tr>
      <w:tr w14:paraId="7D75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D568AF6">
            <w:pPr>
              <w:spacing w:after="0" w:line="240" w:lineRule="auto"/>
            </w:pPr>
            <w:r>
              <w:rPr>
                <w:sz w:val="17"/>
              </w:rPr>
              <w:t>Conduct exploratory data analysis</w:t>
            </w:r>
          </w:p>
        </w:tc>
        <w:tc>
          <w:tcPr>
            <w:tcW w:w="5040" w:type="dxa"/>
            <w:vAlign w:val="center"/>
          </w:tcPr>
          <w:p w14:paraId="4F831E53">
            <w:pPr>
              <w:spacing w:after="0" w:line="240" w:lineRule="auto"/>
            </w:pPr>
            <w:r>
              <w:rPr>
                <w:sz w:val="17"/>
              </w:rPr>
              <w:t>Investigate attendance and no-show patterns across appointment, patient, reminder, history, distance and other relevant variables.</w:t>
            </w:r>
          </w:p>
        </w:tc>
      </w:tr>
      <w:tr w14:paraId="76F0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7B25B2A">
            <w:pPr>
              <w:spacing w:after="0" w:line="240" w:lineRule="auto"/>
            </w:pPr>
            <w:r>
              <w:rPr>
                <w:sz w:val="17"/>
              </w:rPr>
              <w:t>Develop 3–5 KPIs</w:t>
            </w:r>
          </w:p>
        </w:tc>
        <w:tc>
          <w:tcPr>
            <w:tcW w:w="5040" w:type="dxa"/>
            <w:vAlign w:val="center"/>
          </w:tcPr>
          <w:p w14:paraId="77D62F52">
            <w:pPr>
              <w:spacing w:after="0" w:line="240" w:lineRule="auto"/>
            </w:pPr>
            <w:r>
              <w:rPr>
                <w:sz w:val="17"/>
              </w:rPr>
              <w:t>Calculate and interpret the most relevant KPIs identified during Week 4.</w:t>
            </w:r>
          </w:p>
        </w:tc>
      </w:tr>
      <w:tr w14:paraId="6C7D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28584C8">
            <w:pPr>
              <w:spacing w:after="0" w:line="240" w:lineRule="auto"/>
            </w:pPr>
            <w:r>
              <w:rPr>
                <w:sz w:val="17"/>
              </w:rPr>
              <w:t>Build an initial dashboard</w:t>
            </w:r>
          </w:p>
        </w:tc>
        <w:tc>
          <w:tcPr>
            <w:tcW w:w="5040" w:type="dxa"/>
            <w:vAlign w:val="center"/>
          </w:tcPr>
          <w:p w14:paraId="65277841">
            <w:pPr>
              <w:spacing w:after="0" w:line="240" w:lineRule="auto"/>
            </w:pPr>
            <w:r>
              <w:rPr>
                <w:sz w:val="17"/>
              </w:rPr>
              <w:t>Create a Power BI analytical view that presents important KPIs and findings.</w:t>
            </w:r>
          </w:p>
        </w:tc>
      </w:tr>
      <w:tr w14:paraId="6F5D2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49F2EF1">
            <w:pPr>
              <w:spacing w:after="0" w:line="240" w:lineRule="auto"/>
            </w:pPr>
            <w:r>
              <w:rPr>
                <w:sz w:val="17"/>
              </w:rPr>
              <w:t>Produce business insights and recommendations</w:t>
            </w:r>
          </w:p>
        </w:tc>
        <w:tc>
          <w:tcPr>
            <w:tcW w:w="5040" w:type="dxa"/>
            <w:vAlign w:val="center"/>
          </w:tcPr>
          <w:p w14:paraId="660CCC89">
            <w:pPr>
              <w:spacing w:after="0" w:line="240" w:lineRule="auto"/>
            </w:pPr>
            <w:r>
              <w:rPr>
                <w:sz w:val="17"/>
              </w:rPr>
              <w:t>Translate the analysis into practical implications for HealthConnect.</w:t>
            </w:r>
          </w:p>
        </w:tc>
      </w:tr>
      <w:tr w14:paraId="18AC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C734DB4">
            <w:pPr>
              <w:spacing w:after="0" w:line="240" w:lineRule="auto"/>
            </w:pPr>
            <w:r>
              <w:rPr>
                <w:sz w:val="17"/>
              </w:rPr>
              <w:t>Document assumptions, limitations and decisions</w:t>
            </w:r>
          </w:p>
        </w:tc>
        <w:tc>
          <w:tcPr>
            <w:tcW w:w="5040" w:type="dxa"/>
            <w:vAlign w:val="center"/>
          </w:tcPr>
          <w:p w14:paraId="3356A561">
            <w:pPr>
              <w:spacing w:after="0" w:line="240" w:lineRule="auto"/>
            </w:pPr>
            <w:r>
              <w:rPr>
                <w:sz w:val="17"/>
              </w:rPr>
              <w:t>Record issues discovered during analysis and how they were handled.</w:t>
            </w:r>
          </w:p>
        </w:tc>
      </w:tr>
      <w:tr w14:paraId="18BD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8D5AAA1">
            <w:pPr>
              <w:spacing w:after="0" w:line="240" w:lineRule="auto"/>
            </w:pPr>
            <w:r>
              <w:rPr>
                <w:sz w:val="17"/>
              </w:rPr>
              <w:t>Identify cross-track dependencies</w:t>
            </w:r>
          </w:p>
        </w:tc>
        <w:tc>
          <w:tcPr>
            <w:tcW w:w="5040" w:type="dxa"/>
            <w:vAlign w:val="center"/>
          </w:tcPr>
          <w:p w14:paraId="17175045">
            <w:pPr>
              <w:spacing w:after="0" w:line="240" w:lineRule="auto"/>
            </w:pPr>
            <w:r>
              <w:rPr>
                <w:sz w:val="17"/>
              </w:rPr>
              <w:t>Provide relevant analytical findings for use by another HealthConnect workstream.</w:t>
            </w:r>
          </w:p>
        </w:tc>
      </w:tr>
    </w:tbl>
    <w:p w14:paraId="270CF77E">
      <w:pPr>
        <w:spacing w:after="40"/>
      </w:pPr>
    </w:p>
    <w:p w14:paraId="217C0FDA">
      <w:pPr>
        <w:pStyle w:val="2"/>
      </w:pPr>
      <w:r>
        <w:t>3. What I Actually Completed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BD7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08C00B94">
            <w:pPr>
              <w:spacing w:after="0" w:line="240" w:lineRule="auto"/>
            </w:pPr>
            <w:r>
              <w:rPr>
                <w:b/>
                <w:sz w:val="16"/>
              </w:rPr>
              <w:t>Work Area</w:t>
            </w:r>
          </w:p>
        </w:tc>
        <w:tc>
          <w:tcPr>
            <w:tcW w:w="5040" w:type="dxa"/>
            <w:shd w:val="clear" w:color="auto" w:fill="D9EAF7"/>
          </w:tcPr>
          <w:p w14:paraId="3AA1F465">
            <w:pPr>
              <w:spacing w:after="0" w:line="240" w:lineRule="auto"/>
            </w:pPr>
            <w:r>
              <w:rPr>
                <w:b/>
                <w:sz w:val="16"/>
              </w:rPr>
              <w:t>Completion / Outcome</w:t>
            </w:r>
          </w:p>
        </w:tc>
      </w:tr>
      <w:tr w14:paraId="18168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FC2216F">
            <w:pPr>
              <w:spacing w:after="0" w:line="240" w:lineRule="auto"/>
            </w:pPr>
            <w:r>
              <w:rPr>
                <w:sz w:val="16"/>
              </w:rPr>
              <w:t>Week 4 review</w:t>
            </w:r>
          </w:p>
        </w:tc>
        <w:tc>
          <w:tcPr>
            <w:tcW w:w="5040" w:type="dxa"/>
            <w:vAlign w:val="center"/>
          </w:tcPr>
          <w:p w14:paraId="7458A431">
            <w:pPr>
              <w:spacing w:after="0" w:line="240" w:lineRule="auto"/>
            </w:pPr>
            <w:r>
              <w:rPr>
                <w:sz w:val="16"/>
              </w:rPr>
              <w:t>Completed. Week 4 problem, resources, assumptions and proposed approach were carried forward.</w:t>
            </w:r>
          </w:p>
        </w:tc>
      </w:tr>
      <w:tr w14:paraId="3C88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FC72F13">
            <w:pPr>
              <w:spacing w:after="0" w:line="240" w:lineRule="auto"/>
            </w:pPr>
            <w:r>
              <w:rPr>
                <w:sz w:val="16"/>
              </w:rPr>
              <w:t>Data preparation</w:t>
            </w:r>
          </w:p>
        </w:tc>
        <w:tc>
          <w:tcPr>
            <w:tcW w:w="5040" w:type="dxa"/>
            <w:vAlign w:val="center"/>
          </w:tcPr>
          <w:p w14:paraId="4CBC19BE">
            <w:pPr>
              <w:spacing w:after="0" w:line="240" w:lineRule="auto"/>
            </w:pPr>
            <w:r>
              <w:rPr>
                <w:sz w:val="16"/>
              </w:rPr>
              <w:t>Completed. Dataset structure, types, missing values, duplicates and category consistency were reviewed in Power Query.</w:t>
            </w:r>
          </w:p>
        </w:tc>
      </w:tr>
      <w:tr w14:paraId="380D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0DBD1D9">
            <w:pPr>
              <w:spacing w:after="0" w:line="240" w:lineRule="auto"/>
            </w:pPr>
            <w:r>
              <w:rPr>
                <w:sz w:val="16"/>
              </w:rPr>
              <w:t>Data quality</w:t>
            </w:r>
          </w:p>
        </w:tc>
        <w:tc>
          <w:tcPr>
            <w:tcW w:w="5040" w:type="dxa"/>
            <w:vAlign w:val="center"/>
          </w:tcPr>
          <w:p w14:paraId="3625063D">
            <w:pPr>
              <w:spacing w:after="0" w:line="240" w:lineRule="auto"/>
            </w:pPr>
            <w:r>
              <w:rPr>
                <w:sz w:val="16"/>
              </w:rPr>
              <w:t>Completed. 5,000 rows and 18 columns were reviewed; no duplicate rows were identified.</w:t>
            </w:r>
          </w:p>
        </w:tc>
      </w:tr>
      <w:tr w14:paraId="02AC5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803610">
            <w:pPr>
              <w:spacing w:after="0" w:line="240" w:lineRule="auto"/>
            </w:pPr>
            <w:r>
              <w:rPr>
                <w:sz w:val="16"/>
              </w:rPr>
              <w:t>Missing values</w:t>
            </w:r>
          </w:p>
        </w:tc>
        <w:tc>
          <w:tcPr>
            <w:tcW w:w="5040" w:type="dxa"/>
            <w:vAlign w:val="center"/>
          </w:tcPr>
          <w:p w14:paraId="0B78B75D">
            <w:pPr>
              <w:spacing w:after="0" w:line="240" w:lineRule="auto"/>
            </w:pPr>
            <w:r>
              <w:rPr>
                <w:sz w:val="16"/>
              </w:rPr>
              <w:t>Completed. Missing distance and waiting-time values were retained; reminder channel values such as 'None' were retained as a valid category.</w:t>
            </w:r>
          </w:p>
        </w:tc>
      </w:tr>
      <w:tr w14:paraId="4334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26525D">
            <w:pPr>
              <w:spacing w:after="0" w:line="240" w:lineRule="auto"/>
            </w:pPr>
            <w:r>
              <w:rPr>
                <w:sz w:val="16"/>
              </w:rPr>
              <w:t>KPI development</w:t>
            </w:r>
          </w:p>
        </w:tc>
        <w:tc>
          <w:tcPr>
            <w:tcW w:w="5040" w:type="dxa"/>
            <w:vAlign w:val="center"/>
          </w:tcPr>
          <w:p w14:paraId="6816C746">
            <w:pPr>
              <w:spacing w:after="0" w:line="240" w:lineRule="auto"/>
            </w:pPr>
            <w:r>
              <w:rPr>
                <w:sz w:val="16"/>
              </w:rPr>
              <w:t>Completed. Five KPIs were calculated using DAX.</w:t>
            </w:r>
          </w:p>
        </w:tc>
      </w:tr>
      <w:tr w14:paraId="53EE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909BDC5">
            <w:pPr>
              <w:spacing w:after="0" w:line="240" w:lineRule="auto"/>
            </w:pPr>
            <w:r>
              <w:rPr>
                <w:sz w:val="16"/>
              </w:rPr>
              <w:t>EDA</w:t>
            </w:r>
          </w:p>
        </w:tc>
        <w:tc>
          <w:tcPr>
            <w:tcW w:w="5040" w:type="dxa"/>
            <w:vAlign w:val="center"/>
          </w:tcPr>
          <w:p w14:paraId="61F4960F">
            <w:pPr>
              <w:spacing w:after="0" w:line="240" w:lineRule="auto"/>
            </w:pPr>
            <w:r>
              <w:rPr>
                <w:sz w:val="16"/>
              </w:rPr>
              <w:t>Completed. Attendance/no-show relationships were analysed across key appointment and patient variables.</w:t>
            </w:r>
          </w:p>
        </w:tc>
      </w:tr>
      <w:tr w14:paraId="7F50A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E1148BC">
            <w:pPr>
              <w:spacing w:after="0" w:line="240" w:lineRule="auto"/>
            </w:pPr>
            <w:r>
              <w:rPr>
                <w:sz w:val="16"/>
              </w:rPr>
              <w:t>Dashboard</w:t>
            </w:r>
          </w:p>
        </w:tc>
        <w:tc>
          <w:tcPr>
            <w:tcW w:w="5040" w:type="dxa"/>
            <w:vAlign w:val="center"/>
          </w:tcPr>
          <w:p w14:paraId="17B9CB77">
            <w:pPr>
              <w:spacing w:after="0" w:line="240" w:lineRule="auto"/>
            </w:pPr>
            <w:r>
              <w:rPr>
                <w:sz w:val="16"/>
              </w:rPr>
              <w:t>Completed. An initial Power BI dashboard was developed alongside the detailed analytical visuals.</w:t>
            </w:r>
          </w:p>
        </w:tc>
      </w:tr>
      <w:tr w14:paraId="614F1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2F0C078">
            <w:pPr>
              <w:spacing w:after="0" w:line="240" w:lineRule="auto"/>
            </w:pPr>
            <w:r>
              <w:rPr>
                <w:sz w:val="16"/>
              </w:rPr>
              <w:t>Business insights</w:t>
            </w:r>
          </w:p>
        </w:tc>
        <w:tc>
          <w:tcPr>
            <w:tcW w:w="5040" w:type="dxa"/>
            <w:vAlign w:val="center"/>
          </w:tcPr>
          <w:p w14:paraId="62F67AE6">
            <w:pPr>
              <w:spacing w:after="0" w:line="240" w:lineRule="auto"/>
            </w:pPr>
            <w:r>
              <w:rPr>
                <w:sz w:val="16"/>
              </w:rPr>
              <w:t>Completed. Eight key findings were documented.</w:t>
            </w:r>
          </w:p>
        </w:tc>
      </w:tr>
      <w:tr w14:paraId="01EF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0BB4B2A">
            <w:pPr>
              <w:spacing w:after="0" w:line="240" w:lineRule="auto"/>
            </w:pPr>
            <w:r>
              <w:rPr>
                <w:sz w:val="16"/>
              </w:rPr>
              <w:t>Recommendations</w:t>
            </w:r>
          </w:p>
        </w:tc>
        <w:tc>
          <w:tcPr>
            <w:tcW w:w="5040" w:type="dxa"/>
            <w:vAlign w:val="center"/>
          </w:tcPr>
          <w:p w14:paraId="1183C71B">
            <w:pPr>
              <w:spacing w:after="0" w:line="240" w:lineRule="auto"/>
            </w:pPr>
            <w:r>
              <w:rPr>
                <w:sz w:val="16"/>
              </w:rPr>
              <w:t>Completed. Business recommendations were developed from the strongest observed patterns.</w:t>
            </w:r>
          </w:p>
        </w:tc>
      </w:tr>
      <w:tr w14:paraId="2A64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B9488DD">
            <w:pPr>
              <w:spacing w:after="0" w:line="240" w:lineRule="auto"/>
            </w:pPr>
            <w:r>
              <w:rPr>
                <w:sz w:val="16"/>
              </w:rPr>
              <w:t>Documentation</w:t>
            </w:r>
          </w:p>
        </w:tc>
        <w:tc>
          <w:tcPr>
            <w:tcW w:w="5040" w:type="dxa"/>
            <w:vAlign w:val="center"/>
          </w:tcPr>
          <w:p w14:paraId="2FC7ED09">
            <w:pPr>
              <w:spacing w:after="0" w:line="240" w:lineRule="auto"/>
            </w:pPr>
            <w:r>
              <w:rPr>
                <w:sz w:val="16"/>
              </w:rPr>
              <w:t>Completed. Analytics report and project summary prepared.</w:t>
            </w:r>
          </w:p>
        </w:tc>
      </w:tr>
    </w:tbl>
    <w:p w14:paraId="6393E41A">
      <w:pPr>
        <w:spacing w:after="40"/>
      </w:pPr>
    </w:p>
    <w:p w14:paraId="34293FD4">
      <w:pPr>
        <w:pStyle w:val="2"/>
      </w:pPr>
      <w:r>
        <w:t>4. Key Findings / Development Outcomes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242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7BE5D837">
            <w:pPr>
              <w:spacing w:after="0" w:line="240" w:lineRule="auto"/>
            </w:pPr>
            <w:r>
              <w:rPr>
                <w:b/>
                <w:sz w:val="16"/>
              </w:rPr>
              <w:t>Area</w:t>
            </w:r>
          </w:p>
        </w:tc>
        <w:tc>
          <w:tcPr>
            <w:tcW w:w="5040" w:type="dxa"/>
            <w:shd w:val="clear" w:color="auto" w:fill="D9EAF7"/>
          </w:tcPr>
          <w:p w14:paraId="24C7FDE1">
            <w:pPr>
              <w:spacing w:after="0" w:line="240" w:lineRule="auto"/>
            </w:pPr>
            <w:r>
              <w:rPr>
                <w:b/>
                <w:sz w:val="16"/>
              </w:rPr>
              <w:t>Outcome</w:t>
            </w:r>
          </w:p>
        </w:tc>
      </w:tr>
      <w:tr w14:paraId="35D40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D395ED2">
            <w:pPr>
              <w:spacing w:after="0" w:line="240" w:lineRule="auto"/>
            </w:pPr>
            <w:r>
              <w:rPr>
                <w:sz w:val="16"/>
              </w:rPr>
              <w:t>Overall attendance</w:t>
            </w:r>
          </w:p>
        </w:tc>
        <w:tc>
          <w:tcPr>
            <w:tcW w:w="5040" w:type="dxa"/>
            <w:vAlign w:val="center"/>
          </w:tcPr>
          <w:p w14:paraId="460E2DC0">
            <w:pPr>
              <w:spacing w:after="0" w:line="240" w:lineRule="auto"/>
            </w:pPr>
            <w:r>
              <w:rPr>
                <w:sz w:val="16"/>
              </w:rPr>
              <w:t>No-Show Rate was 48.46%, Attendance Rate was 46.28%, and Cancellation Rate was 5.26%.</w:t>
            </w:r>
          </w:p>
        </w:tc>
      </w:tr>
      <w:tr w14:paraId="7710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65F104B">
            <w:pPr>
              <w:spacing w:after="0" w:line="240" w:lineRule="auto"/>
            </w:pPr>
            <w:r>
              <w:rPr>
                <w:sz w:val="16"/>
              </w:rPr>
              <w:t>Booking lead time</w:t>
            </w:r>
          </w:p>
        </w:tc>
        <w:tc>
          <w:tcPr>
            <w:tcW w:w="5040" w:type="dxa"/>
            <w:vAlign w:val="center"/>
          </w:tcPr>
          <w:p w14:paraId="0A711E47">
            <w:pPr>
              <w:spacing w:after="0" w:line="240" w:lineRule="auto"/>
            </w:pPr>
            <w:r>
              <w:rPr>
                <w:sz w:val="16"/>
              </w:rPr>
              <w:t>No-show rate increased from 27.81% for 0–7 days to 67.69% for 46–60 days.</w:t>
            </w:r>
          </w:p>
        </w:tc>
      </w:tr>
      <w:tr w14:paraId="2432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44A77FA">
            <w:pPr>
              <w:spacing w:after="0" w:line="240" w:lineRule="auto"/>
            </w:pPr>
            <w:r>
              <w:rPr>
                <w:sz w:val="16"/>
              </w:rPr>
              <w:t>Previous no-shows</w:t>
            </w:r>
          </w:p>
        </w:tc>
        <w:tc>
          <w:tcPr>
            <w:tcW w:w="5040" w:type="dxa"/>
            <w:vAlign w:val="center"/>
          </w:tcPr>
          <w:p w14:paraId="67386E46">
            <w:pPr>
              <w:spacing w:after="0" w:line="240" w:lineRule="auto"/>
            </w:pPr>
            <w:r>
              <w:rPr>
                <w:sz w:val="16"/>
              </w:rPr>
              <w:t>No-show rate increased from 48.51% for 0 previous no-shows to 68.82% for 3+ previous no-shows.</w:t>
            </w:r>
          </w:p>
        </w:tc>
      </w:tr>
      <w:tr w14:paraId="5478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AD5174E">
            <w:pPr>
              <w:spacing w:after="0" w:line="240" w:lineRule="auto"/>
            </w:pPr>
            <w:r>
              <w:rPr>
                <w:sz w:val="16"/>
              </w:rPr>
              <w:t>Reminders</w:t>
            </w:r>
          </w:p>
        </w:tc>
        <w:tc>
          <w:tcPr>
            <w:tcW w:w="5040" w:type="dxa"/>
            <w:vAlign w:val="center"/>
          </w:tcPr>
          <w:p w14:paraId="277B17C2">
            <w:pPr>
              <w:spacing w:after="0" w:line="240" w:lineRule="auto"/>
            </w:pPr>
            <w:r>
              <w:rPr>
                <w:sz w:val="16"/>
              </w:rPr>
              <w:t>Attendance was 47.63% for appointments where reminders were sent versus 42.68% where reminders were not sent.</w:t>
            </w:r>
          </w:p>
        </w:tc>
      </w:tr>
      <w:tr w14:paraId="5F4C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5A284DF">
            <w:pPr>
              <w:spacing w:after="0" w:line="240" w:lineRule="auto"/>
            </w:pPr>
            <w:r>
              <w:rPr>
                <w:sz w:val="16"/>
              </w:rPr>
              <w:t>Age</w:t>
            </w:r>
          </w:p>
        </w:tc>
        <w:tc>
          <w:tcPr>
            <w:tcW w:w="5040" w:type="dxa"/>
            <w:vAlign w:val="center"/>
          </w:tcPr>
          <w:p w14:paraId="0E4EEB0D">
            <w:pPr>
              <w:spacing w:after="0" w:line="240" w:lineRule="auto"/>
            </w:pPr>
            <w:r>
              <w:rPr>
                <w:sz w:val="16"/>
              </w:rPr>
              <w:t>55–64 had the highest no-show rate at 50.75%; 65+ had the lowest at 45.12%.</w:t>
            </w:r>
          </w:p>
        </w:tc>
      </w:tr>
      <w:tr w14:paraId="2BCD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B94B0E0">
            <w:pPr>
              <w:spacing w:after="0" w:line="240" w:lineRule="auto"/>
            </w:pPr>
            <w:r>
              <w:rPr>
                <w:sz w:val="16"/>
              </w:rPr>
              <w:t>Appointment type</w:t>
            </w:r>
          </w:p>
        </w:tc>
        <w:tc>
          <w:tcPr>
            <w:tcW w:w="5040" w:type="dxa"/>
            <w:vAlign w:val="center"/>
          </w:tcPr>
          <w:p w14:paraId="7FD29507">
            <w:pPr>
              <w:spacing w:after="0" w:line="240" w:lineRule="auto"/>
            </w:pPr>
            <w:r>
              <w:rPr>
                <w:sz w:val="16"/>
              </w:rPr>
              <w:t>Follow-up had the highest no-show rate at 51.23%; General Consultation had the lowest at 46.64%.</w:t>
            </w:r>
          </w:p>
        </w:tc>
      </w:tr>
      <w:tr w14:paraId="5C6C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EC1E2A5">
            <w:pPr>
              <w:spacing w:after="0" w:line="240" w:lineRule="auto"/>
            </w:pPr>
            <w:r>
              <w:rPr>
                <w:sz w:val="16"/>
              </w:rPr>
              <w:t>Time period</w:t>
            </w:r>
          </w:p>
        </w:tc>
        <w:tc>
          <w:tcPr>
            <w:tcW w:w="5040" w:type="dxa"/>
            <w:vAlign w:val="center"/>
          </w:tcPr>
          <w:p w14:paraId="09F186EF">
            <w:pPr>
              <w:spacing w:after="0" w:line="240" w:lineRule="auto"/>
            </w:pPr>
            <w:r>
              <w:rPr>
                <w:sz w:val="16"/>
              </w:rPr>
              <w:t>Evening had the highest no-show rate at 49.78%; morning had the lowest at 48.14%.</w:t>
            </w:r>
          </w:p>
        </w:tc>
      </w:tr>
      <w:tr w14:paraId="3BE6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3459070">
            <w:pPr>
              <w:spacing w:after="0" w:line="240" w:lineRule="auto"/>
            </w:pPr>
            <w:r>
              <w:rPr>
                <w:sz w:val="16"/>
              </w:rPr>
              <w:t>Gender</w:t>
            </w:r>
          </w:p>
        </w:tc>
        <w:tc>
          <w:tcPr>
            <w:tcW w:w="5040" w:type="dxa"/>
            <w:vAlign w:val="center"/>
          </w:tcPr>
          <w:p w14:paraId="1A46B5FA">
            <w:pPr>
              <w:spacing w:after="0" w:line="240" w:lineRule="auto"/>
            </w:pPr>
            <w:r>
              <w:rPr>
                <w:sz w:val="16"/>
              </w:rPr>
              <w:t>Male and female no-show rates were very similar at 48.71% and 48.43% respectively.</w:t>
            </w:r>
          </w:p>
        </w:tc>
      </w:tr>
      <w:tr w14:paraId="36F6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073DA02">
            <w:pPr>
              <w:spacing w:after="0" w:line="240" w:lineRule="auto"/>
            </w:pPr>
            <w:r>
              <w:rPr>
                <w:sz w:val="16"/>
              </w:rPr>
              <w:t>Average booking lead time</w:t>
            </w:r>
          </w:p>
        </w:tc>
        <w:tc>
          <w:tcPr>
            <w:tcW w:w="5040" w:type="dxa"/>
            <w:vAlign w:val="center"/>
          </w:tcPr>
          <w:p w14:paraId="3BFE2639">
            <w:pPr>
              <w:spacing w:after="0" w:line="240" w:lineRule="auto"/>
            </w:pPr>
            <w:r>
              <w:rPr>
                <w:sz w:val="16"/>
              </w:rPr>
              <w:t>Average booking lead time was 29.64 days.</w:t>
            </w:r>
          </w:p>
        </w:tc>
      </w:tr>
    </w:tbl>
    <w:p w14:paraId="38A19091">
      <w:pPr>
        <w:spacing w:after="40"/>
      </w:pPr>
    </w:p>
    <w:p w14:paraId="4BC597AB">
      <w:pPr>
        <w:pStyle w:val="2"/>
      </w:pPr>
      <w:r>
        <w:t>5. Major Challenges Encountered</w:t>
      </w:r>
    </w:p>
    <w:p w14:paraId="488C79D4">
      <w:pPr>
        <w:pStyle w:val="23"/>
        <w:spacing w:after="40"/>
      </w:pPr>
      <w:r>
        <w:t>Missing values were present in reminder_channel, distance_to_clinic_km and waiting_time_minutes, requiring careful treatment.</w:t>
      </w:r>
    </w:p>
    <w:p w14:paraId="2720499E">
      <w:pPr>
        <w:pStyle w:val="23"/>
        <w:spacing w:after="40"/>
      </w:pPr>
      <w:r>
        <w:t>The reminder_channel field included the category 'None', so it was necessary to distinguish a valid category from a true missing value.</w:t>
      </w:r>
    </w:p>
    <w:p w14:paraId="44B192B3">
      <w:pPr>
        <w:pStyle w:val="23"/>
        <w:spacing w:after="40"/>
      </w:pPr>
      <w:r>
        <w:t>The detailed EDA page became crowded as more required relationships were analysed.</w:t>
      </w:r>
    </w:p>
    <w:p w14:paraId="52DBF43B">
      <w:pPr>
        <w:pStyle w:val="23"/>
        <w:spacing w:after="40"/>
      </w:pPr>
      <w:r>
        <w:t>Several observed relationships could easily be interpreted as causal, particularly the reminder result. The analysis therefore distinguishes association from causation.</w:t>
      </w:r>
    </w:p>
    <w:p w14:paraId="6F23AF53">
      <w:pPr>
        <w:pStyle w:val="23"/>
        <w:spacing w:after="40"/>
      </w:pPr>
      <w:r>
        <w:t>Distance and waiting-time analysis is affected by incomplete observations.</w:t>
      </w:r>
    </w:p>
    <w:p w14:paraId="71BCE802">
      <w:pPr>
        <w:pStyle w:val="2"/>
      </w:pPr>
      <w:r>
        <w:t>6. Important Decisions Made and Why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10A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47A14495">
            <w:pPr>
              <w:spacing w:after="0" w:line="240" w:lineRule="auto"/>
            </w:pPr>
            <w:r>
              <w:rPr>
                <w:b/>
                <w:sz w:val="16"/>
              </w:rPr>
              <w:t>Decision</w:t>
            </w:r>
          </w:p>
        </w:tc>
        <w:tc>
          <w:tcPr>
            <w:tcW w:w="5040" w:type="dxa"/>
            <w:shd w:val="clear" w:color="auto" w:fill="D9EAF7"/>
          </w:tcPr>
          <w:p w14:paraId="5E863932">
            <w:pPr>
              <w:spacing w:after="0" w:line="240" w:lineRule="auto"/>
            </w:pPr>
            <w:r>
              <w:rPr>
                <w:b/>
                <w:sz w:val="16"/>
              </w:rPr>
              <w:t>Reason</w:t>
            </w:r>
          </w:p>
        </w:tc>
      </w:tr>
      <w:tr w14:paraId="06F2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C8F95C7">
            <w:pPr>
              <w:spacing w:after="0" w:line="240" w:lineRule="auto"/>
            </w:pPr>
            <w:r>
              <w:rPr>
                <w:sz w:val="16"/>
              </w:rPr>
              <w:t>Do not delete rows with missing distance or waiting time</w:t>
            </w:r>
          </w:p>
        </w:tc>
        <w:tc>
          <w:tcPr>
            <w:tcW w:w="5040" w:type="dxa"/>
            <w:vAlign w:val="center"/>
          </w:tcPr>
          <w:p w14:paraId="3A038793">
            <w:pPr>
              <w:spacing w:after="0" w:line="240" w:lineRule="auto"/>
            </w:pPr>
            <w:r>
              <w:rPr>
                <w:sz w:val="16"/>
              </w:rPr>
              <w:t>Retaining records preserves the dataset and avoids unnecessary reduction or potential selection bias.</w:t>
            </w:r>
          </w:p>
        </w:tc>
      </w:tr>
      <w:tr w14:paraId="6C17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C10BD94">
            <w:pPr>
              <w:spacing w:after="0" w:line="240" w:lineRule="auto"/>
            </w:pPr>
            <w:r>
              <w:rPr>
                <w:sz w:val="16"/>
              </w:rPr>
              <w:t>Keep reminder_channel = 'None'</w:t>
            </w:r>
          </w:p>
        </w:tc>
        <w:tc>
          <w:tcPr>
            <w:tcW w:w="5040" w:type="dxa"/>
            <w:vAlign w:val="center"/>
          </w:tcPr>
          <w:p w14:paraId="37A1D8C9">
            <w:pPr>
              <w:spacing w:after="0" w:line="240" w:lineRule="auto"/>
            </w:pPr>
            <w:r>
              <w:rPr>
                <w:sz w:val="16"/>
              </w:rPr>
              <w:t>'None' represents a category in the data and should not automatically be treated as a null value.</w:t>
            </w:r>
          </w:p>
        </w:tc>
      </w:tr>
      <w:tr w14:paraId="6867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44BC7CF">
            <w:pPr>
              <w:spacing w:after="0" w:line="240" w:lineRule="auto"/>
            </w:pPr>
            <w:r>
              <w:rPr>
                <w:sz w:val="16"/>
              </w:rPr>
              <w:t>Preserve the original dataset</w:t>
            </w:r>
          </w:p>
        </w:tc>
        <w:tc>
          <w:tcPr>
            <w:tcW w:w="5040" w:type="dxa"/>
            <w:vAlign w:val="center"/>
          </w:tcPr>
          <w:p w14:paraId="3E41F66C">
            <w:pPr>
              <w:spacing w:after="0" w:line="240" w:lineRule="auto"/>
            </w:pPr>
            <w:r>
              <w:rPr>
                <w:sz w:val="16"/>
              </w:rPr>
              <w:t>The Week 5 instructions require the original project resource not to be overwritten.</w:t>
            </w:r>
          </w:p>
        </w:tc>
      </w:tr>
      <w:tr w14:paraId="0D0DE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6939B14">
            <w:pPr>
              <w:spacing w:after="0" w:line="240" w:lineRule="auto"/>
            </w:pPr>
            <w:r>
              <w:rPr>
                <w:sz w:val="16"/>
              </w:rPr>
              <w:t>Remove temporary duplicate-check queries</w:t>
            </w:r>
          </w:p>
        </w:tc>
        <w:tc>
          <w:tcPr>
            <w:tcW w:w="5040" w:type="dxa"/>
            <w:vAlign w:val="center"/>
          </w:tcPr>
          <w:p w14:paraId="2983FED6">
            <w:pPr>
              <w:spacing w:after="0" w:line="240" w:lineRule="auto"/>
            </w:pPr>
            <w:r>
              <w:rPr>
                <w:sz w:val="16"/>
              </w:rPr>
              <w:t>They were only created for validation; the clean original query was retained after the checks.</w:t>
            </w:r>
          </w:p>
        </w:tc>
      </w:tr>
      <w:tr w14:paraId="785D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306FF0E">
            <w:pPr>
              <w:spacing w:after="0" w:line="240" w:lineRule="auto"/>
            </w:pPr>
            <w:r>
              <w:rPr>
                <w:sz w:val="16"/>
              </w:rPr>
              <w:t>Use grouped booking lead-time bands</w:t>
            </w:r>
          </w:p>
        </w:tc>
        <w:tc>
          <w:tcPr>
            <w:tcW w:w="5040" w:type="dxa"/>
            <w:vAlign w:val="center"/>
          </w:tcPr>
          <w:p w14:paraId="256BAE0D">
            <w:pPr>
              <w:spacing w:after="0" w:line="240" w:lineRule="auto"/>
            </w:pPr>
            <w:r>
              <w:rPr>
                <w:sz w:val="16"/>
              </w:rPr>
              <w:t>Grouping makes the relationship between lead time and no-show rate easier to interpret and communicate.</w:t>
            </w:r>
          </w:p>
        </w:tc>
      </w:tr>
      <w:tr w14:paraId="05D1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8103265">
            <w:pPr>
              <w:spacing w:after="0" w:line="240" w:lineRule="auto"/>
            </w:pPr>
            <w:r>
              <w:rPr>
                <w:sz w:val="16"/>
              </w:rPr>
              <w:t>Create a separate dashboard page</w:t>
            </w:r>
          </w:p>
        </w:tc>
        <w:tc>
          <w:tcPr>
            <w:tcW w:w="5040" w:type="dxa"/>
            <w:vAlign w:val="center"/>
          </w:tcPr>
          <w:p w14:paraId="5FF279DC">
            <w:pPr>
              <w:spacing w:after="0" w:line="240" w:lineRule="auto"/>
            </w:pPr>
            <w:r>
              <w:rPr>
                <w:sz w:val="16"/>
              </w:rPr>
              <w:t>The detailed EDA workspace was crowded, so a dedicated dashboard provides a cleaner management view without deleting analysis.</w:t>
            </w:r>
          </w:p>
        </w:tc>
      </w:tr>
      <w:tr w14:paraId="2DDD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EA275D">
            <w:pPr>
              <w:spacing w:after="0" w:line="240" w:lineRule="auto"/>
            </w:pPr>
            <w:r>
              <w:rPr>
                <w:sz w:val="16"/>
              </w:rPr>
              <w:t>Avoid causal claims</w:t>
            </w:r>
          </w:p>
        </w:tc>
        <w:tc>
          <w:tcPr>
            <w:tcW w:w="5040" w:type="dxa"/>
            <w:vAlign w:val="center"/>
          </w:tcPr>
          <w:p w14:paraId="69D0091C">
            <w:pPr>
              <w:spacing w:after="0" w:line="240" w:lineRule="auto"/>
            </w:pPr>
            <w:r>
              <w:rPr>
                <w:sz w:val="16"/>
              </w:rPr>
              <w:t>The dataset supports observational analysis, so observed relationships were treated as associations requiring further investigation.</w:t>
            </w:r>
          </w:p>
        </w:tc>
      </w:tr>
    </w:tbl>
    <w:p w14:paraId="4CD99814">
      <w:pPr>
        <w:spacing w:after="40"/>
      </w:pPr>
    </w:p>
    <w:p w14:paraId="2FE9D200">
      <w:pPr>
        <w:pStyle w:val="2"/>
      </w:pPr>
      <w:r>
        <w:t>7. Changes to My Week 4 Approach</w:t>
      </w:r>
    </w:p>
    <w:p w14:paraId="583C0BD6">
      <w:r>
        <w:t>The overall Week 4 approach remained appropriate, but the work moved from proposed analysis into implementation. Instead of only identifying potential KPIs, I calculated five KPIs and used them alongside exploratory visuals. The initial approach also expanded into grouped analysis for booking lead time and previous no-show history because these variables showed clearer patterns when segmented.</w:t>
      </w:r>
    </w:p>
    <w:p w14:paraId="32140095">
      <w:r>
        <w:t>The dashboard approach was also refined. Rather than placing every analytical visual on one page, the detailed EDA was retained while a separate Week 5 dashboard was used to present the most important KPIs and findings.</w:t>
      </w:r>
    </w:p>
    <w:p w14:paraId="296CD0BD">
      <w:pPr>
        <w:pStyle w:val="2"/>
      </w:pPr>
      <w:r>
        <w:t>8. Cross-Track Collaboration</w:t>
      </w:r>
    </w:p>
    <w:p w14:paraId="1DEB9ED0">
      <w:r>
        <w:t>The clearest cross-track dependency identified was between Data Analytics and Data Science. The Data Analytics analysis identified previous no-show history and booking lead time as important variables associated with future no-show outcomes. These findings are relevant to the Data Science track because they can inform candidate feature review for future no-show prediction.</w:t>
      </w:r>
    </w:p>
    <w:p w14:paraId="3306B8EB">
      <w:r>
        <w:t>The analytical output intended for exchange is the Week 5 KPI and EDA summary, particularly the identified high-risk patterns. A formal message, acknowledgement or other evidence of the exchange should be retained if required by the programme.</w:t>
      </w:r>
    </w:p>
    <w:p w14:paraId="36801830">
      <w:pPr>
        <w:pStyle w:val="2"/>
      </w:pPr>
      <w:r>
        <w:t>9. Assumptions, Limitations, Risks and Dependencies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7E40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tcPr>
          <w:p w14:paraId="1124854E">
            <w:pPr>
              <w:spacing w:after="0" w:line="240" w:lineRule="auto"/>
            </w:pPr>
            <w:r>
              <w:rPr>
                <w:b/>
                <w:sz w:val="16"/>
              </w:rPr>
              <w:t>Item</w:t>
            </w:r>
          </w:p>
        </w:tc>
        <w:tc>
          <w:tcPr>
            <w:tcW w:w="3360" w:type="dxa"/>
            <w:shd w:val="clear" w:color="auto" w:fill="D9EAF7"/>
          </w:tcPr>
          <w:p w14:paraId="090F168E">
            <w:pPr>
              <w:spacing w:after="0" w:line="240" w:lineRule="auto"/>
            </w:pPr>
            <w:r>
              <w:rPr>
                <w:b/>
                <w:sz w:val="16"/>
              </w:rPr>
              <w:t>Week 5 Status</w:t>
            </w:r>
          </w:p>
        </w:tc>
        <w:tc>
          <w:tcPr>
            <w:tcW w:w="3360" w:type="dxa"/>
            <w:shd w:val="clear" w:color="auto" w:fill="D9EAF7"/>
          </w:tcPr>
          <w:p w14:paraId="302B0BAF">
            <w:pPr>
              <w:spacing w:after="0" w:line="240" w:lineRule="auto"/>
            </w:pPr>
            <w:r>
              <w:rPr>
                <w:b/>
                <w:sz w:val="16"/>
              </w:rPr>
              <w:t>Impact / Response</w:t>
            </w:r>
          </w:p>
        </w:tc>
      </w:tr>
      <w:tr w14:paraId="4C7D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0707AE7">
            <w:pPr>
              <w:spacing w:after="0" w:line="240" w:lineRule="auto"/>
            </w:pPr>
            <w:r>
              <w:rPr>
                <w:sz w:val="16"/>
              </w:rPr>
              <w:t>Dataset is fictional/anonymized</w:t>
            </w:r>
          </w:p>
        </w:tc>
        <w:tc>
          <w:tcPr>
            <w:tcW w:w="3360" w:type="dxa"/>
            <w:vAlign w:val="center"/>
          </w:tcPr>
          <w:p w14:paraId="40413AF8">
            <w:pPr>
              <w:spacing w:after="0" w:line="240" w:lineRule="auto"/>
            </w:pPr>
            <w:r>
              <w:rPr>
                <w:sz w:val="16"/>
              </w:rPr>
              <w:t>Remains relevant</w:t>
            </w:r>
          </w:p>
        </w:tc>
        <w:tc>
          <w:tcPr>
            <w:tcW w:w="3360" w:type="dxa"/>
            <w:vAlign w:val="center"/>
          </w:tcPr>
          <w:p w14:paraId="209C1A97">
            <w:pPr>
              <w:spacing w:after="0" w:line="240" w:lineRule="auto"/>
            </w:pPr>
            <w:r>
              <w:rPr>
                <w:sz w:val="16"/>
              </w:rPr>
              <w:t>Findings are specific to the provided project data.</w:t>
            </w:r>
          </w:p>
        </w:tc>
      </w:tr>
      <w:tr w14:paraId="27F2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E467C58">
            <w:pPr>
              <w:spacing w:after="0" w:line="240" w:lineRule="auto"/>
            </w:pPr>
            <w:r>
              <w:rPr>
                <w:sz w:val="16"/>
              </w:rPr>
              <w:t>Associations vs causation</w:t>
            </w:r>
          </w:p>
        </w:tc>
        <w:tc>
          <w:tcPr>
            <w:tcW w:w="3360" w:type="dxa"/>
            <w:vAlign w:val="center"/>
          </w:tcPr>
          <w:p w14:paraId="7D314076">
            <w:pPr>
              <w:spacing w:after="0" w:line="240" w:lineRule="auto"/>
            </w:pPr>
            <w:r>
              <w:rPr>
                <w:sz w:val="16"/>
              </w:rPr>
              <w:t>Remains relevant</w:t>
            </w:r>
          </w:p>
        </w:tc>
        <w:tc>
          <w:tcPr>
            <w:tcW w:w="3360" w:type="dxa"/>
            <w:vAlign w:val="center"/>
          </w:tcPr>
          <w:p w14:paraId="14CBAFF6">
            <w:pPr>
              <w:spacing w:after="0" w:line="240" w:lineRule="auto"/>
            </w:pPr>
            <w:r>
              <w:rPr>
                <w:sz w:val="16"/>
              </w:rPr>
              <w:t>Avoid causal claims and treat patterns as evidence for further investigation.</w:t>
            </w:r>
          </w:p>
        </w:tc>
      </w:tr>
      <w:tr w14:paraId="0FE7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F9078EC">
            <w:pPr>
              <w:spacing w:after="0" w:line="240" w:lineRule="auto"/>
            </w:pPr>
            <w:r>
              <w:rPr>
                <w:sz w:val="16"/>
              </w:rPr>
              <w:t>Missing distance and waiting time</w:t>
            </w:r>
          </w:p>
        </w:tc>
        <w:tc>
          <w:tcPr>
            <w:tcW w:w="3360" w:type="dxa"/>
            <w:vAlign w:val="center"/>
          </w:tcPr>
          <w:p w14:paraId="2DFA6F85">
            <w:pPr>
              <w:spacing w:after="0" w:line="240" w:lineRule="auto"/>
            </w:pPr>
            <w:r>
              <w:rPr>
                <w:sz w:val="16"/>
              </w:rPr>
              <w:t>Remains relevant</w:t>
            </w:r>
          </w:p>
        </w:tc>
        <w:tc>
          <w:tcPr>
            <w:tcW w:w="3360" w:type="dxa"/>
            <w:vAlign w:val="center"/>
          </w:tcPr>
          <w:p w14:paraId="3E601DE5">
            <w:pPr>
              <w:spacing w:after="0" w:line="240" w:lineRule="auto"/>
            </w:pPr>
            <w:r>
              <w:rPr>
                <w:sz w:val="16"/>
              </w:rPr>
              <w:t>Retain missing values and interpret analyses involving these variables cautiously.</w:t>
            </w:r>
          </w:p>
        </w:tc>
      </w:tr>
      <w:tr w14:paraId="34FA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AF91FA2">
            <w:pPr>
              <w:spacing w:after="0" w:line="240" w:lineRule="auto"/>
            </w:pPr>
            <w:r>
              <w:rPr>
                <w:sz w:val="16"/>
              </w:rPr>
              <w:t>Incomplete attendance factors</w:t>
            </w:r>
          </w:p>
        </w:tc>
        <w:tc>
          <w:tcPr>
            <w:tcW w:w="3360" w:type="dxa"/>
            <w:vAlign w:val="center"/>
          </w:tcPr>
          <w:p w14:paraId="3C04064E">
            <w:pPr>
              <w:spacing w:after="0" w:line="240" w:lineRule="auto"/>
            </w:pPr>
            <w:r>
              <w:rPr>
                <w:sz w:val="16"/>
              </w:rPr>
              <w:t>Remains relevant</w:t>
            </w:r>
          </w:p>
        </w:tc>
        <w:tc>
          <w:tcPr>
            <w:tcW w:w="3360" w:type="dxa"/>
            <w:vAlign w:val="center"/>
          </w:tcPr>
          <w:p w14:paraId="264FD5F2">
            <w:pPr>
              <w:spacing w:after="0" w:line="240" w:lineRule="auto"/>
            </w:pPr>
            <w:r>
              <w:rPr>
                <w:sz w:val="16"/>
              </w:rPr>
              <w:t>Recognise that the dataset may not capture every reason for missed appointments.</w:t>
            </w:r>
          </w:p>
        </w:tc>
      </w:tr>
      <w:tr w14:paraId="630F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F5F248E">
            <w:pPr>
              <w:spacing w:after="0" w:line="240" w:lineRule="auto"/>
            </w:pPr>
            <w:r>
              <w:rPr>
                <w:sz w:val="16"/>
              </w:rPr>
              <w:t>Reminder interpretation</w:t>
            </w:r>
          </w:p>
        </w:tc>
        <w:tc>
          <w:tcPr>
            <w:tcW w:w="3360" w:type="dxa"/>
            <w:vAlign w:val="center"/>
          </w:tcPr>
          <w:p w14:paraId="2CD51787">
            <w:pPr>
              <w:spacing w:after="0" w:line="240" w:lineRule="auto"/>
            </w:pPr>
            <w:r>
              <w:rPr>
                <w:sz w:val="16"/>
              </w:rPr>
              <w:t>Remains relevant</w:t>
            </w:r>
          </w:p>
        </w:tc>
        <w:tc>
          <w:tcPr>
            <w:tcW w:w="3360" w:type="dxa"/>
            <w:vAlign w:val="center"/>
          </w:tcPr>
          <w:p w14:paraId="47574EB0">
            <w:pPr>
              <w:spacing w:after="0" w:line="240" w:lineRule="auto"/>
            </w:pPr>
            <w:r>
              <w:rPr>
                <w:sz w:val="16"/>
              </w:rPr>
              <w:t>Use observed attendance differences for monitoring, not proof of reminder causality.</w:t>
            </w:r>
          </w:p>
        </w:tc>
      </w:tr>
      <w:tr w14:paraId="68F1C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3CACD7A">
            <w:pPr>
              <w:spacing w:after="0" w:line="240" w:lineRule="auto"/>
            </w:pPr>
            <w:r>
              <w:rPr>
                <w:sz w:val="16"/>
              </w:rPr>
              <w:t>Data structure and category checks</w:t>
            </w:r>
          </w:p>
        </w:tc>
        <w:tc>
          <w:tcPr>
            <w:tcW w:w="3360" w:type="dxa"/>
            <w:vAlign w:val="center"/>
          </w:tcPr>
          <w:p w14:paraId="3B851EBF">
            <w:pPr>
              <w:spacing w:after="0" w:line="240" w:lineRule="auto"/>
            </w:pPr>
            <w:r>
              <w:rPr>
                <w:sz w:val="16"/>
              </w:rPr>
              <w:t>Largely resolved</w:t>
            </w:r>
          </w:p>
        </w:tc>
        <w:tc>
          <w:tcPr>
            <w:tcW w:w="3360" w:type="dxa"/>
            <w:vAlign w:val="center"/>
          </w:tcPr>
          <w:p w14:paraId="53D11A58">
            <w:pPr>
              <w:spacing w:after="0" w:line="240" w:lineRule="auto"/>
            </w:pPr>
            <w:r>
              <w:rPr>
                <w:sz w:val="16"/>
              </w:rPr>
              <w:t>Power Query validation confirmed expected types and categories.</w:t>
            </w:r>
          </w:p>
        </w:tc>
      </w:tr>
      <w:tr w14:paraId="7F3A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03E9E98">
            <w:pPr>
              <w:spacing w:after="0" w:line="240" w:lineRule="auto"/>
            </w:pPr>
            <w:r>
              <w:rPr>
                <w:sz w:val="16"/>
              </w:rPr>
              <w:t>Original dataset preservation</w:t>
            </w:r>
          </w:p>
        </w:tc>
        <w:tc>
          <w:tcPr>
            <w:tcW w:w="3360" w:type="dxa"/>
            <w:vAlign w:val="center"/>
          </w:tcPr>
          <w:p w14:paraId="3A5834C1">
            <w:pPr>
              <w:spacing w:after="0" w:line="240" w:lineRule="auto"/>
            </w:pPr>
            <w:r>
              <w:rPr>
                <w:sz w:val="16"/>
              </w:rPr>
              <w:t>Resolved for Week 5</w:t>
            </w:r>
          </w:p>
        </w:tc>
        <w:tc>
          <w:tcPr>
            <w:tcW w:w="3360" w:type="dxa"/>
            <w:vAlign w:val="center"/>
          </w:tcPr>
          <w:p w14:paraId="085D3EB8">
            <w:pPr>
              <w:spacing w:after="0" w:line="240" w:lineRule="auto"/>
            </w:pPr>
            <w:r>
              <w:rPr>
                <w:sz w:val="16"/>
              </w:rPr>
              <w:t>Original resource was not overwritten; Power BI work was saved separately.</w:t>
            </w:r>
          </w:p>
        </w:tc>
      </w:tr>
    </w:tbl>
    <w:p w14:paraId="43758869">
      <w:pPr>
        <w:spacing w:after="40"/>
      </w:pPr>
    </w:p>
    <w:p w14:paraId="6A680836">
      <w:pPr>
        <w:pStyle w:val="2"/>
      </w:pPr>
      <w:r>
        <w:t>10. Remaining Work</w:t>
      </w:r>
    </w:p>
    <w:p w14:paraId="6B583A60">
      <w:pPr>
        <w:pStyle w:val="23"/>
        <w:spacing w:after="40"/>
      </w:pPr>
      <w:r>
        <w:t>Complete any required formal cross-track evidence or acknowledgement.</w:t>
      </w:r>
    </w:p>
    <w:p w14:paraId="23668267">
      <w:pPr>
        <w:pStyle w:val="23"/>
        <w:spacing w:after="40"/>
      </w:pPr>
      <w:r>
        <w:t>Upload and organise the Week 5 report, project summary, Power BI file and other supporting materials in the designated Google Drive folder.</w:t>
      </w:r>
    </w:p>
    <w:p w14:paraId="02C07F9A">
      <w:pPr>
        <w:pStyle w:val="23"/>
        <w:spacing w:after="40"/>
      </w:pPr>
      <w:r>
        <w:t>Update the relevant GitHub repository and README with the Week 5 work.</w:t>
      </w:r>
    </w:p>
    <w:p w14:paraId="37E2561F">
      <w:pPr>
        <w:pStyle w:val="23"/>
        <w:spacing w:after="40"/>
      </w:pPr>
      <w:r>
        <w:t>Use the Week 5 findings as the analytical foundation for the next HealthConnect stage.</w:t>
      </w:r>
    </w:p>
    <w:p w14:paraId="1C11E942">
      <w:pPr>
        <w:pStyle w:val="23"/>
        <w:spacing w:after="40"/>
      </w:pPr>
      <w:r>
        <w:t>Continue any deeper analysis required by the next week's assignment rather than expanding Week 5 beyond its defined scope.</w:t>
      </w:r>
    </w:p>
    <w:p w14:paraId="2A02999E">
      <w:pPr>
        <w:pStyle w:val="2"/>
      </w:pPr>
      <w:r>
        <w:t>11. Proposed Focus for Week 6</w:t>
      </w:r>
    </w:p>
    <w:p w14:paraId="26F5283D">
      <w:r>
        <w:t>My proposed Week 6 focus is to build on the validated Week 5 analytical foundation, use the strongest findings to support the next stage of the HealthConnect project, and continue cross-track coordination. Particular attention should be given to the strongest observed no-show indicators, especially previous no-show history and booking lead time, while maintaining the data-quality and interpretation safeguards established in Week 5.</w:t>
      </w:r>
    </w:p>
    <w:p w14:paraId="08F0A350">
      <w:pPr>
        <w:pStyle w:val="2"/>
      </w:pPr>
      <w:r>
        <w:t>12. Week 5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F74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tcPr>
          <w:p w14:paraId="17F68B26">
            <w:pPr>
              <w:spacing w:after="0" w:line="240" w:lineRule="auto"/>
            </w:pPr>
            <w:r>
              <w:rPr>
                <w:b/>
                <w:sz w:val="18"/>
              </w:rPr>
              <w:t>Requirement</w:t>
            </w:r>
          </w:p>
        </w:tc>
        <w:tc>
          <w:tcPr>
            <w:tcW w:w="5040" w:type="dxa"/>
            <w:shd w:val="clear" w:color="auto" w:fill="D9EAF7"/>
          </w:tcPr>
          <w:p w14:paraId="592EC748">
            <w:pPr>
              <w:spacing w:after="0" w:line="240" w:lineRule="auto"/>
            </w:pPr>
            <w:r>
              <w:rPr>
                <w:b/>
                <w:sz w:val="18"/>
              </w:rPr>
              <w:t>Status</w:t>
            </w:r>
          </w:p>
        </w:tc>
      </w:tr>
      <w:tr w14:paraId="6C76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096F800">
            <w:pPr>
              <w:spacing w:after="0" w:line="240" w:lineRule="auto"/>
            </w:pPr>
            <w:r>
              <w:rPr>
                <w:sz w:val="18"/>
              </w:rPr>
              <w:t>Week 4 foundation reviewed</w:t>
            </w:r>
          </w:p>
        </w:tc>
        <w:tc>
          <w:tcPr>
            <w:tcW w:w="5040" w:type="dxa"/>
            <w:vAlign w:val="center"/>
          </w:tcPr>
          <w:p w14:paraId="0567D6E8">
            <w:pPr>
              <w:spacing w:after="0" w:line="240" w:lineRule="auto"/>
            </w:pPr>
            <w:r>
              <w:rPr>
                <w:sz w:val="18"/>
              </w:rPr>
              <w:t>Completed</w:t>
            </w:r>
          </w:p>
        </w:tc>
      </w:tr>
      <w:tr w14:paraId="4A5A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158E97A">
            <w:pPr>
              <w:spacing w:after="0" w:line="240" w:lineRule="auto"/>
            </w:pPr>
            <w:r>
              <w:rPr>
                <w:sz w:val="18"/>
              </w:rPr>
              <w:t>Data preparation and quality assessment</w:t>
            </w:r>
          </w:p>
        </w:tc>
        <w:tc>
          <w:tcPr>
            <w:tcW w:w="5040" w:type="dxa"/>
            <w:vAlign w:val="center"/>
          </w:tcPr>
          <w:p w14:paraId="430589D0">
            <w:pPr>
              <w:spacing w:after="0" w:line="240" w:lineRule="auto"/>
            </w:pPr>
            <w:r>
              <w:rPr>
                <w:sz w:val="18"/>
              </w:rPr>
              <w:t>Completed</w:t>
            </w:r>
          </w:p>
        </w:tc>
      </w:tr>
      <w:tr w14:paraId="4EB5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2E34E75">
            <w:pPr>
              <w:spacing w:after="0" w:line="240" w:lineRule="auto"/>
            </w:pPr>
            <w:r>
              <w:rPr>
                <w:sz w:val="18"/>
              </w:rPr>
              <w:t>Exploratory analysis</w:t>
            </w:r>
          </w:p>
        </w:tc>
        <w:tc>
          <w:tcPr>
            <w:tcW w:w="5040" w:type="dxa"/>
            <w:vAlign w:val="center"/>
          </w:tcPr>
          <w:p w14:paraId="7C70D44B">
            <w:pPr>
              <w:spacing w:after="0" w:line="240" w:lineRule="auto"/>
            </w:pPr>
            <w:r>
              <w:rPr>
                <w:sz w:val="18"/>
              </w:rPr>
              <w:t>Completed</w:t>
            </w:r>
          </w:p>
        </w:tc>
      </w:tr>
      <w:tr w14:paraId="3DA2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9692DA0">
            <w:pPr>
              <w:spacing w:after="0" w:line="240" w:lineRule="auto"/>
            </w:pPr>
            <w:r>
              <w:rPr>
                <w:sz w:val="18"/>
              </w:rPr>
              <w:t>KPI development</w:t>
            </w:r>
          </w:p>
        </w:tc>
        <w:tc>
          <w:tcPr>
            <w:tcW w:w="5040" w:type="dxa"/>
            <w:vAlign w:val="center"/>
          </w:tcPr>
          <w:p w14:paraId="2401CC41">
            <w:pPr>
              <w:spacing w:after="0" w:line="240" w:lineRule="auto"/>
            </w:pPr>
            <w:r>
              <w:rPr>
                <w:sz w:val="18"/>
              </w:rPr>
              <w:t>Completed – 5 KPIs</w:t>
            </w:r>
          </w:p>
        </w:tc>
      </w:tr>
      <w:tr w14:paraId="275A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994FC87">
            <w:pPr>
              <w:spacing w:after="0" w:line="240" w:lineRule="auto"/>
            </w:pPr>
            <w:r>
              <w:rPr>
                <w:sz w:val="18"/>
              </w:rPr>
              <w:t>Initial dashboard / visualisation</w:t>
            </w:r>
          </w:p>
        </w:tc>
        <w:tc>
          <w:tcPr>
            <w:tcW w:w="5040" w:type="dxa"/>
            <w:vAlign w:val="center"/>
          </w:tcPr>
          <w:p w14:paraId="3CBADAC4">
            <w:pPr>
              <w:spacing w:after="0" w:line="240" w:lineRule="auto"/>
            </w:pPr>
            <w:r>
              <w:rPr>
                <w:sz w:val="18"/>
              </w:rPr>
              <w:t>Completed</w:t>
            </w:r>
          </w:p>
        </w:tc>
      </w:tr>
      <w:tr w14:paraId="2D48D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3AB97BC">
            <w:pPr>
              <w:spacing w:after="0" w:line="240" w:lineRule="auto"/>
            </w:pPr>
            <w:r>
              <w:rPr>
                <w:sz w:val="18"/>
              </w:rPr>
              <w:t>Business insights</w:t>
            </w:r>
          </w:p>
        </w:tc>
        <w:tc>
          <w:tcPr>
            <w:tcW w:w="5040" w:type="dxa"/>
            <w:vAlign w:val="center"/>
          </w:tcPr>
          <w:p w14:paraId="5483DD2A">
            <w:pPr>
              <w:spacing w:after="0" w:line="240" w:lineRule="auto"/>
            </w:pPr>
            <w:r>
              <w:rPr>
                <w:sz w:val="18"/>
              </w:rPr>
              <w:t>Completed – 8 findings</w:t>
            </w:r>
          </w:p>
        </w:tc>
      </w:tr>
      <w:tr w14:paraId="2535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62491CC">
            <w:pPr>
              <w:spacing w:after="0" w:line="240" w:lineRule="auto"/>
            </w:pPr>
            <w:r>
              <w:rPr>
                <w:sz w:val="18"/>
              </w:rPr>
              <w:t>Recommendations</w:t>
            </w:r>
          </w:p>
        </w:tc>
        <w:tc>
          <w:tcPr>
            <w:tcW w:w="5040" w:type="dxa"/>
            <w:vAlign w:val="center"/>
          </w:tcPr>
          <w:p w14:paraId="724CB01F">
            <w:pPr>
              <w:spacing w:after="0" w:line="240" w:lineRule="auto"/>
            </w:pPr>
            <w:r>
              <w:rPr>
                <w:sz w:val="18"/>
              </w:rPr>
              <w:t>Completed</w:t>
            </w:r>
          </w:p>
        </w:tc>
      </w:tr>
      <w:tr w14:paraId="47D3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BD83A42">
            <w:pPr>
              <w:spacing w:after="0" w:line="240" w:lineRule="auto"/>
            </w:pPr>
            <w:r>
              <w:rPr>
                <w:sz w:val="18"/>
              </w:rPr>
              <w:t>Challenges and decisions documented</w:t>
            </w:r>
          </w:p>
        </w:tc>
        <w:tc>
          <w:tcPr>
            <w:tcW w:w="5040" w:type="dxa"/>
            <w:vAlign w:val="center"/>
          </w:tcPr>
          <w:p w14:paraId="25CBC4D8">
            <w:pPr>
              <w:spacing w:after="0" w:line="240" w:lineRule="auto"/>
            </w:pPr>
            <w:r>
              <w:rPr>
                <w:sz w:val="18"/>
              </w:rPr>
              <w:t>Completed</w:t>
            </w:r>
          </w:p>
        </w:tc>
      </w:tr>
      <w:tr w14:paraId="7213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E3EBEFD">
            <w:pPr>
              <w:spacing w:after="0" w:line="240" w:lineRule="auto"/>
            </w:pPr>
            <w:r>
              <w:rPr>
                <w:sz w:val="18"/>
              </w:rPr>
              <w:t>Assumptions and limitations reviewed</w:t>
            </w:r>
          </w:p>
        </w:tc>
        <w:tc>
          <w:tcPr>
            <w:tcW w:w="5040" w:type="dxa"/>
            <w:vAlign w:val="center"/>
          </w:tcPr>
          <w:p w14:paraId="0C8A8220">
            <w:pPr>
              <w:spacing w:after="0" w:line="240" w:lineRule="auto"/>
            </w:pPr>
            <w:r>
              <w:rPr>
                <w:sz w:val="18"/>
              </w:rPr>
              <w:t>Completed</w:t>
            </w:r>
          </w:p>
        </w:tc>
      </w:tr>
      <w:tr w14:paraId="2264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0E6276">
            <w:pPr>
              <w:spacing w:after="0" w:line="240" w:lineRule="auto"/>
            </w:pPr>
            <w:r>
              <w:rPr>
                <w:sz w:val="18"/>
              </w:rPr>
              <w:t>Project summary</w:t>
            </w:r>
          </w:p>
        </w:tc>
        <w:tc>
          <w:tcPr>
            <w:tcW w:w="5040" w:type="dxa"/>
            <w:vAlign w:val="center"/>
          </w:tcPr>
          <w:p w14:paraId="3EB1E836">
            <w:pPr>
              <w:spacing w:after="0" w:line="240" w:lineRule="auto"/>
            </w:pPr>
            <w:r>
              <w:rPr>
                <w:sz w:val="18"/>
              </w:rPr>
              <w:t>Completed</w:t>
            </w:r>
          </w:p>
        </w:tc>
      </w:tr>
      <w:tr w14:paraId="6046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A99B70A">
            <w:pPr>
              <w:spacing w:after="0" w:line="240" w:lineRule="auto"/>
            </w:pPr>
            <w:r>
              <w:rPr>
                <w:sz w:val="18"/>
              </w:rPr>
              <w:t>Cross-track evidence</w:t>
            </w:r>
          </w:p>
        </w:tc>
        <w:tc>
          <w:tcPr>
            <w:tcW w:w="5040" w:type="dxa"/>
            <w:vAlign w:val="center"/>
          </w:tcPr>
          <w:p w14:paraId="664EF33C">
            <w:pPr>
              <w:spacing w:after="0" w:line="240" w:lineRule="auto"/>
            </w:pPr>
            <w:r>
              <w:rPr>
                <w:sz w:val="18"/>
              </w:rPr>
              <w:t>To be attached/documented if formal exchange is required</w:t>
            </w:r>
          </w:p>
        </w:tc>
      </w:tr>
    </w:tbl>
    <w:p w14:paraId="195F8255">
      <w:pPr>
        <w:spacing w:after="40"/>
      </w:pPr>
    </w:p>
    <w:p w14:paraId="6FAD069D"/>
    <w:p w14:paraId="0D3A6F9F">
      <w:pPr>
        <w:jc w:val="center"/>
      </w:pPr>
      <w:r>
        <w:rPr>
          <w:b/>
          <w:sz w:val="20"/>
        </w:rPr>
        <w:t>End of Week 5 Project Summary</w:t>
      </w:r>
    </w:p>
    <w:sectPr>
      <w:headerReference r:id="rId5" w:type="default"/>
      <w:footerReference r:id="rId6"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81899">
    <w:pPr>
      <w:pStyle w:val="18"/>
      <w:jc w:val="center"/>
    </w:pPr>
    <w:r>
      <w:rPr>
        <w:sz w:val="16"/>
      </w:rPr>
      <w:t>AnalystLab Africa Experience Lab • Data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3080A">
    <w:pPr>
      <w:pStyle w:val="19"/>
      <w:jc w:val="right"/>
    </w:pPr>
    <w:r>
      <w:rPr>
        <w:sz w:val="16"/>
      </w:rPr>
      <w:t>HealthConnect Clinic | Week 5 Project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D43FED"/>
    <w:rsid w:val="3D8148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1310</Words>
  <Characters>8110</Characters>
  <Lines>0</Lines>
  <Paragraphs>0</Paragraphs>
  <TotalTime>0</TotalTime>
  <ScaleCrop>false</ScaleCrop>
  <LinksUpToDate>false</LinksUpToDate>
  <CharactersWithSpaces>9260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Esther Mgbemena</cp:lastModifiedBy>
  <dcterms:modified xsi:type="dcterms:W3CDTF">2026-09-06T22:30:12Z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A38D6600773B4C78A33693FBE40A7F0A_13</vt:lpwstr>
  </property>
</Properties>
</file>