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D6C9BE">
      <w:pPr>
        <w:spacing w:before="700"/>
        <w:jc w:val="center"/>
      </w:pPr>
      <w:bookmarkStart w:id="0" w:name="_GoBack"/>
      <w:bookmarkEnd w:id="0"/>
      <w:r>
        <w:rPr>
          <w:b/>
          <w:sz w:val="32"/>
        </w:rPr>
        <w:t>ANALYSTLAB AFRICA</w:t>
      </w:r>
    </w:p>
    <w:p w14:paraId="7962732C">
      <w:pPr>
        <w:spacing w:before="60"/>
        <w:jc w:val="center"/>
      </w:pPr>
      <w:r>
        <w:rPr>
          <w:b w:val="0"/>
          <w:sz w:val="22"/>
        </w:rPr>
        <w:t>Experience Lab Internship Programme</w:t>
      </w:r>
    </w:p>
    <w:p w14:paraId="5295E320">
      <w:pPr>
        <w:spacing w:before="440"/>
        <w:jc w:val="center"/>
      </w:pPr>
      <w:r>
        <w:rPr>
          <w:b/>
          <w:sz w:val="48"/>
        </w:rPr>
        <w:t>WEEK 5 ANALYTICS REPORT</w:t>
      </w:r>
    </w:p>
    <w:p w14:paraId="4C1FB325">
      <w:pPr>
        <w:spacing w:before="80"/>
        <w:jc w:val="center"/>
      </w:pPr>
      <w:r>
        <w:rPr>
          <w:b/>
          <w:sz w:val="36"/>
        </w:rPr>
        <w:t>HealthConnect Clinic</w:t>
      </w:r>
    </w:p>
    <w:p w14:paraId="37F42086">
      <w:pPr>
        <w:spacing w:before="80"/>
        <w:jc w:val="center"/>
      </w:pPr>
      <w:r>
        <w:rPr>
          <w:b w:val="0"/>
          <w:sz w:val="24"/>
        </w:rPr>
        <w:t>Improving Patient Appointment Attendance and Healthcare Support Using Data and AI</w:t>
      </w:r>
    </w:p>
    <w:p w14:paraId="4563D4D0">
      <w:pPr>
        <w:spacing w:before="480"/>
        <w:jc w:val="center"/>
      </w:pPr>
      <w:r>
        <w:rPr>
          <w:b/>
          <w:sz w:val="22"/>
        </w:rPr>
        <w:t>Track: Data Analytics</w:t>
      </w:r>
    </w:p>
    <w:p w14:paraId="161C0A3B">
      <w:pPr>
        <w:spacing w:before="60"/>
        <w:jc w:val="center"/>
      </w:pPr>
      <w:r>
        <w:rPr>
          <w:b w:val="0"/>
          <w:sz w:val="21"/>
        </w:rPr>
        <w:t>Focus: Exploratory Analysis, KPI Development &amp; Business Insights</w:t>
      </w:r>
    </w:p>
    <w:p w14:paraId="69AE9CD1">
      <w:pPr>
        <w:spacing w:before="500"/>
        <w:jc w:val="center"/>
      </w:pPr>
      <w:r>
        <w:rPr>
          <w:b w:val="0"/>
          <w:sz w:val="22"/>
        </w:rPr>
        <w:t>Week 5</w:t>
      </w:r>
    </w:p>
    <w:p w14:paraId="0BB093A7">
      <w:r>
        <w:br w:type="page"/>
      </w:r>
    </w:p>
    <w:p w14:paraId="5FE66E52">
      <w:pPr>
        <w:pStyle w:val="2"/>
      </w:pPr>
      <w:r>
        <w:t>1. Executive Summary</w:t>
      </w:r>
    </w:p>
    <w:p w14:paraId="4A6D895D">
      <w:r>
        <w:t>In Week 5, I moved the HealthConnect Data Analytics work from the planning stage established in Week 4 into practical analysis and initial implementation. I used the HealthConnect Appointment Dataset and Data Dictionary to validate the dataset, examine appointment attendance and no-show patterns, develop key performance indicators (KPIs), and build an initial Power BI analytical dashboard.</w:t>
      </w:r>
    </w:p>
    <w:p w14:paraId="1C9D8076">
      <w:r>
        <w:t>The analysis shows that missed appointments are a major operational issue in the dataset. Out of 5,000 appointment records, 2,423 were No-Show, 2,314 were Attended, and 263 were Cancelled. This corresponds to a 48.46% No-Show Rate, 46.28% Attendance Rate and 5.26% Cancellation Rate.</w:t>
      </w:r>
    </w:p>
    <w:p w14:paraId="2BD91BD6">
      <w:r>
        <w:t>The strongest patterns observed were associated with booking lead time and previous no-show history. No-show rates increased substantially as the number of days between booking and appointment increased, and patients with more previous no-shows also showed higher future no-show rates. Reminder-sent appointments had a higher attendance rate than appointments without a reminder, although this analysis is observational and does not establish that reminders caused the improvement.</w:t>
      </w:r>
    </w:p>
    <w:p w14:paraId="2BCD150C">
      <w:r>
        <w:t>The Week 5 output provides HealthConnect with an evidence-based view of the attendance problem and a starting point for more targeted interventions and future predictive or AI-supported work.</w:t>
      </w:r>
    </w:p>
    <w:p w14:paraId="00432D4D">
      <w:pPr>
        <w:pStyle w:val="2"/>
      </w:pPr>
      <w:r>
        <w:t>2. Week 4 → Week 5 Transition</w:t>
      </w:r>
    </w:p>
    <w:p w14:paraId="3F920A2B">
      <w:r>
        <w:t>Week 4 established the HealthConnect problem, reviewed the available resources, assessed the data at an initial level, identified business questions and proposed KPIs. Week 5 required the Data Analytics track to move from planning into actual analysis, KPI development, visualisation and business insights.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4990B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tcPr>
          <w:p w14:paraId="6B28250B">
            <w:pPr>
              <w:spacing w:after="0" w:line="240" w:lineRule="auto"/>
            </w:pPr>
            <w:r>
              <w:rPr>
                <w:b/>
                <w:sz w:val="16"/>
              </w:rPr>
              <w:t>Week 4 Foundation</w:t>
            </w:r>
          </w:p>
        </w:tc>
        <w:tc>
          <w:tcPr>
            <w:tcW w:w="5112" w:type="dxa"/>
            <w:shd w:val="clear" w:color="auto" w:fill="D9EAF7"/>
          </w:tcPr>
          <w:p w14:paraId="00A713D6">
            <w:pPr>
              <w:spacing w:after="0" w:line="240" w:lineRule="auto"/>
            </w:pPr>
            <w:r>
              <w:rPr>
                <w:b/>
                <w:sz w:val="16"/>
              </w:rPr>
              <w:t>Week 5 Implementation</w:t>
            </w:r>
          </w:p>
        </w:tc>
      </w:tr>
      <w:tr w14:paraId="5A6E6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7EA86FA">
            <w:pPr>
              <w:spacing w:after="0" w:line="240" w:lineRule="auto"/>
            </w:pPr>
            <w:r>
              <w:rPr>
                <w:sz w:val="16"/>
              </w:rPr>
              <w:t>Problem</w:t>
            </w:r>
          </w:p>
        </w:tc>
        <w:tc>
          <w:tcPr>
            <w:tcW w:w="5112" w:type="dxa"/>
            <w:vAlign w:val="center"/>
          </w:tcPr>
          <w:p w14:paraId="688F80C1">
            <w:pPr>
              <w:spacing w:after="0" w:line="240" w:lineRule="auto"/>
            </w:pPr>
            <w:r>
              <w:rPr>
                <w:sz w:val="16"/>
              </w:rPr>
              <w:t>Understand and reduce appointment no-shows while improving attendance and support.</w:t>
            </w:r>
          </w:p>
        </w:tc>
      </w:tr>
      <w:tr w14:paraId="53638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5E730C6">
            <w:pPr>
              <w:spacing w:after="0" w:line="240" w:lineRule="auto"/>
            </w:pPr>
            <w:r>
              <w:rPr>
                <w:sz w:val="16"/>
              </w:rPr>
              <w:t>Proposed approach</w:t>
            </w:r>
          </w:p>
        </w:tc>
        <w:tc>
          <w:tcPr>
            <w:tcW w:w="5112" w:type="dxa"/>
            <w:vAlign w:val="center"/>
          </w:tcPr>
          <w:p w14:paraId="4BEF21A0">
            <w:pPr>
              <w:spacing w:after="0" w:line="240" w:lineRule="auto"/>
            </w:pPr>
            <w:r>
              <w:rPr>
                <w:sz w:val="16"/>
              </w:rPr>
              <w:t>Validate data, explore attendance/no-show patterns, calculate KPIs and develop visual analysis.</w:t>
            </w:r>
          </w:p>
        </w:tc>
      </w:tr>
      <w:tr w14:paraId="77192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FB01478">
            <w:pPr>
              <w:spacing w:after="0" w:line="240" w:lineRule="auto"/>
            </w:pPr>
            <w:r>
              <w:rPr>
                <w:sz w:val="16"/>
              </w:rPr>
              <w:t>Resources</w:t>
            </w:r>
          </w:p>
        </w:tc>
        <w:tc>
          <w:tcPr>
            <w:tcW w:w="5112" w:type="dxa"/>
            <w:vAlign w:val="center"/>
          </w:tcPr>
          <w:p w14:paraId="3CC895BB">
            <w:pPr>
              <w:spacing w:after="0" w:line="240" w:lineRule="auto"/>
            </w:pPr>
            <w:r>
              <w:rPr>
                <w:sz w:val="16"/>
              </w:rPr>
              <w:t>HealthConnect_Appointment_Data.csv; HealthConnect_Data_Dictionary.xlsx; Clinic Knowledge Base where applicable.</w:t>
            </w:r>
          </w:p>
        </w:tc>
      </w:tr>
      <w:tr w14:paraId="406F2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DDF25F7">
            <w:pPr>
              <w:spacing w:after="0" w:line="240" w:lineRule="auto"/>
            </w:pPr>
            <w:r>
              <w:rPr>
                <w:sz w:val="16"/>
              </w:rPr>
              <w:t>Key assumptions</w:t>
            </w:r>
          </w:p>
        </w:tc>
        <w:tc>
          <w:tcPr>
            <w:tcW w:w="5112" w:type="dxa"/>
            <w:vAlign w:val="center"/>
          </w:tcPr>
          <w:p w14:paraId="0BB71F55">
            <w:pPr>
              <w:spacing w:after="0" w:line="240" w:lineRule="auto"/>
            </w:pPr>
            <w:r>
              <w:rPr>
                <w:sz w:val="16"/>
              </w:rPr>
              <w:t>Appointment outcomes are accurate; relationships observed are associations, not proof of causation.</w:t>
            </w:r>
          </w:p>
        </w:tc>
      </w:tr>
      <w:tr w14:paraId="05047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8A841C2">
            <w:pPr>
              <w:spacing w:after="0" w:line="240" w:lineRule="auto"/>
            </w:pPr>
            <w:r>
              <w:rPr>
                <w:sz w:val="16"/>
              </w:rPr>
              <w:t>Week 5 objective</w:t>
            </w:r>
          </w:p>
        </w:tc>
        <w:tc>
          <w:tcPr>
            <w:tcW w:w="5112" w:type="dxa"/>
            <w:vAlign w:val="center"/>
          </w:tcPr>
          <w:p w14:paraId="36CC4034">
            <w:pPr>
              <w:spacing w:after="0" w:line="240" w:lineRule="auto"/>
            </w:pPr>
            <w:r>
              <w:rPr>
                <w:sz w:val="16"/>
              </w:rPr>
              <w:t>Complete data preparation, EDA, KPI calculations, initial dashboard and business insights.</w:t>
            </w:r>
          </w:p>
        </w:tc>
      </w:tr>
    </w:tbl>
    <w:p w14:paraId="73220C17">
      <w:pPr>
        <w:spacing w:after="20"/>
      </w:pPr>
    </w:p>
    <w:p w14:paraId="34D90A73">
      <w:pPr>
        <w:pStyle w:val="2"/>
      </w:pPr>
      <w:r>
        <w:t>3. Business Problem and Analytical Objective</w:t>
      </w:r>
    </w:p>
    <w:p w14:paraId="127872D0">
      <w:r>
        <w:t>The overall HealthConnect project question is:</w:t>
      </w:r>
    </w:p>
    <w:p w14:paraId="703772A6">
      <w:r>
        <w:rPr>
          <w:b/>
        </w:rPr>
        <w:t>“How can HealthConnect Clinic use data and AI to reduce missed appointments and improve the patient support experience?”</w:t>
      </w:r>
    </w:p>
    <w:p w14:paraId="0FF6BE3B">
      <w:r>
        <w:t>My Data Analytics responsibility in Week 5 was to provide evidence about appointment attendance and no-show patterns that can support operational decision-making and provide a useful analytical foundation for the other HealthConnect workstreams.</w:t>
      </w:r>
    </w:p>
    <w:p w14:paraId="418AB3B1">
      <w:r>
        <w:t>The analysis focused on the following business questions:</w:t>
      </w:r>
    </w:p>
    <w:p w14:paraId="5F93B680">
      <w:pPr>
        <w:pStyle w:val="29"/>
        <w:spacing w:after="40"/>
      </w:pPr>
      <w:r>
        <w:t>What proportion of scheduled appointments are attended, missed, or cancelled?</w:t>
      </w:r>
    </w:p>
    <w:p w14:paraId="54062413">
      <w:pPr>
        <w:pStyle w:val="29"/>
        <w:spacing w:after="40"/>
      </w:pPr>
      <w:r>
        <w:t>Which patient age groups have the highest missed appointment rates?</w:t>
      </w:r>
    </w:p>
    <w:p w14:paraId="78DDA983">
      <w:pPr>
        <w:pStyle w:val="29"/>
        <w:spacing w:after="40"/>
      </w:pPr>
      <w:r>
        <w:t>Does the number of days between booking and appointment relate to no-show likelihood?</w:t>
      </w:r>
    </w:p>
    <w:p w14:paraId="20F09F51">
      <w:pPr>
        <w:pStyle w:val="29"/>
        <w:spacing w:after="40"/>
      </w:pPr>
      <w:r>
        <w:t>Does sending reminders relate to attendance and no-show outcomes?</w:t>
      </w:r>
    </w:p>
    <w:p w14:paraId="5E70ACFC">
      <w:pPr>
        <w:pStyle w:val="29"/>
        <w:spacing w:after="40"/>
      </w:pPr>
      <w:r>
        <w:t>Does distance to the clinic relate to attendance?</w:t>
      </w:r>
    </w:p>
    <w:p w14:paraId="2334122F">
      <w:pPr>
        <w:pStyle w:val="29"/>
        <w:spacing w:after="40"/>
      </w:pPr>
      <w:r>
        <w:t>Do previous missed appointments relate to future no-show behaviour?</w:t>
      </w:r>
    </w:p>
    <w:p w14:paraId="7576533C">
      <w:pPr>
        <w:pStyle w:val="29"/>
        <w:spacing w:after="40"/>
      </w:pPr>
      <w:r>
        <w:t>Do appointment type and time period relate to attendance?</w:t>
      </w:r>
    </w:p>
    <w:p w14:paraId="154AC31D">
      <w:pPr>
        <w:pStyle w:val="29"/>
        <w:spacing w:after="40"/>
      </w:pPr>
      <w:r>
        <w:t>Are there differences in no-show rates across days or other appointment characteristics?</w:t>
      </w:r>
    </w:p>
    <w:p w14:paraId="071EBD03">
      <w:pPr>
        <w:pStyle w:val="2"/>
      </w:pPr>
      <w:r>
        <w:t>4. Data Preparation and Quality Assessment</w:t>
      </w:r>
    </w:p>
    <w:p w14:paraId="7E691887">
      <w:r>
        <w:t>I used the original HealthConnect appointment dataset as the source for the analysis and did not overwrite the original project resource. The Power BI work was saved separately as HealthConnect_Week5_Data_Analytics.pbix.</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4C49C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tcPr>
          <w:p w14:paraId="673A80F2">
            <w:pPr>
              <w:spacing w:after="0" w:line="240" w:lineRule="auto"/>
            </w:pPr>
            <w:r>
              <w:rPr>
                <w:b/>
                <w:sz w:val="16"/>
              </w:rPr>
              <w:t>Data Quality Item</w:t>
            </w:r>
          </w:p>
        </w:tc>
        <w:tc>
          <w:tcPr>
            <w:tcW w:w="3408" w:type="dxa"/>
            <w:shd w:val="clear" w:color="auto" w:fill="D9EAF7"/>
          </w:tcPr>
          <w:p w14:paraId="1E00DC07">
            <w:pPr>
              <w:spacing w:after="0" w:line="240" w:lineRule="auto"/>
            </w:pPr>
            <w:r>
              <w:rPr>
                <w:b/>
                <w:sz w:val="16"/>
              </w:rPr>
              <w:t>Result</w:t>
            </w:r>
          </w:p>
        </w:tc>
        <w:tc>
          <w:tcPr>
            <w:tcW w:w="3408" w:type="dxa"/>
            <w:shd w:val="clear" w:color="auto" w:fill="D9EAF7"/>
          </w:tcPr>
          <w:p w14:paraId="1BD460F8">
            <w:pPr>
              <w:spacing w:after="0" w:line="240" w:lineRule="auto"/>
            </w:pPr>
            <w:r>
              <w:rPr>
                <w:b/>
                <w:sz w:val="16"/>
              </w:rPr>
              <w:t>Action / Interpretation</w:t>
            </w:r>
          </w:p>
        </w:tc>
      </w:tr>
      <w:tr w14:paraId="1A923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BD2A1A5">
            <w:pPr>
              <w:spacing w:after="0" w:line="240" w:lineRule="auto"/>
            </w:pPr>
            <w:r>
              <w:rPr>
                <w:sz w:val="16"/>
              </w:rPr>
              <w:t>Rows</w:t>
            </w:r>
          </w:p>
        </w:tc>
        <w:tc>
          <w:tcPr>
            <w:tcW w:w="3408" w:type="dxa"/>
            <w:vAlign w:val="center"/>
          </w:tcPr>
          <w:p w14:paraId="1D06B08B">
            <w:pPr>
              <w:spacing w:after="0" w:line="240" w:lineRule="auto"/>
            </w:pPr>
            <w:r>
              <w:rPr>
                <w:sz w:val="16"/>
              </w:rPr>
              <w:t>5,000</w:t>
            </w:r>
          </w:p>
        </w:tc>
        <w:tc>
          <w:tcPr>
            <w:tcW w:w="3408" w:type="dxa"/>
            <w:vAlign w:val="center"/>
          </w:tcPr>
          <w:p w14:paraId="4711749E">
            <w:pPr>
              <w:spacing w:after="0" w:line="240" w:lineRule="auto"/>
            </w:pPr>
            <w:r>
              <w:rPr>
                <w:sz w:val="16"/>
              </w:rPr>
              <w:t>All records retained for analysis.</w:t>
            </w:r>
          </w:p>
        </w:tc>
      </w:tr>
      <w:tr w14:paraId="2B1BD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1DE5DC0">
            <w:pPr>
              <w:spacing w:after="0" w:line="240" w:lineRule="auto"/>
            </w:pPr>
            <w:r>
              <w:rPr>
                <w:sz w:val="16"/>
              </w:rPr>
              <w:t>Columns</w:t>
            </w:r>
          </w:p>
        </w:tc>
        <w:tc>
          <w:tcPr>
            <w:tcW w:w="3408" w:type="dxa"/>
            <w:vAlign w:val="center"/>
          </w:tcPr>
          <w:p w14:paraId="0EE32189">
            <w:pPr>
              <w:spacing w:after="0" w:line="240" w:lineRule="auto"/>
            </w:pPr>
            <w:r>
              <w:rPr>
                <w:sz w:val="16"/>
              </w:rPr>
              <w:t>18</w:t>
            </w:r>
          </w:p>
        </w:tc>
        <w:tc>
          <w:tcPr>
            <w:tcW w:w="3408" w:type="dxa"/>
            <w:vAlign w:val="center"/>
          </w:tcPr>
          <w:p w14:paraId="2828C4D6">
            <w:pPr>
              <w:spacing w:after="0" w:line="240" w:lineRule="auto"/>
            </w:pPr>
            <w:r>
              <w:rPr>
                <w:sz w:val="16"/>
              </w:rPr>
              <w:t>Relevant appointment, patient, booking, reminder and outcome variables retained.</w:t>
            </w:r>
          </w:p>
        </w:tc>
      </w:tr>
      <w:tr w14:paraId="4311A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1653148">
            <w:pPr>
              <w:spacing w:after="0" w:line="240" w:lineRule="auto"/>
            </w:pPr>
            <w:r>
              <w:rPr>
                <w:sz w:val="16"/>
              </w:rPr>
              <w:t>Duplicate rows</w:t>
            </w:r>
          </w:p>
        </w:tc>
        <w:tc>
          <w:tcPr>
            <w:tcW w:w="3408" w:type="dxa"/>
            <w:vAlign w:val="center"/>
          </w:tcPr>
          <w:p w14:paraId="165D8318">
            <w:pPr>
              <w:spacing w:after="0" w:line="240" w:lineRule="auto"/>
            </w:pPr>
            <w:r>
              <w:rPr>
                <w:sz w:val="16"/>
              </w:rPr>
              <w:t>None identified</w:t>
            </w:r>
          </w:p>
        </w:tc>
        <w:tc>
          <w:tcPr>
            <w:tcW w:w="3408" w:type="dxa"/>
            <w:vAlign w:val="center"/>
          </w:tcPr>
          <w:p w14:paraId="0B3FBB6B">
            <w:pPr>
              <w:spacing w:after="0" w:line="240" w:lineRule="auto"/>
            </w:pPr>
            <w:r>
              <w:rPr>
                <w:sz w:val="16"/>
              </w:rPr>
              <w:t>No duplicate rows removed.</w:t>
            </w:r>
          </w:p>
        </w:tc>
      </w:tr>
      <w:tr w14:paraId="6D42B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5EF0E98">
            <w:pPr>
              <w:spacing w:after="0" w:line="240" w:lineRule="auto"/>
            </w:pPr>
            <w:r>
              <w:rPr>
                <w:sz w:val="16"/>
              </w:rPr>
              <w:t>Unique appointment IDs</w:t>
            </w:r>
          </w:p>
        </w:tc>
        <w:tc>
          <w:tcPr>
            <w:tcW w:w="3408" w:type="dxa"/>
            <w:vAlign w:val="center"/>
          </w:tcPr>
          <w:p w14:paraId="0B231F8D">
            <w:pPr>
              <w:spacing w:after="0" w:line="240" w:lineRule="auto"/>
            </w:pPr>
            <w:r>
              <w:rPr>
                <w:sz w:val="16"/>
              </w:rPr>
              <w:t>5,000</w:t>
            </w:r>
          </w:p>
        </w:tc>
        <w:tc>
          <w:tcPr>
            <w:tcW w:w="3408" w:type="dxa"/>
            <w:vAlign w:val="center"/>
          </w:tcPr>
          <w:p w14:paraId="09A4159D">
            <w:pPr>
              <w:spacing w:after="0" w:line="240" w:lineRule="auto"/>
            </w:pPr>
            <w:r>
              <w:rPr>
                <w:sz w:val="16"/>
              </w:rPr>
              <w:t>Appointment ID is unique across the dataset.</w:t>
            </w:r>
          </w:p>
        </w:tc>
      </w:tr>
      <w:tr w14:paraId="5ECC3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42283A3">
            <w:pPr>
              <w:spacing w:after="0" w:line="240" w:lineRule="auto"/>
            </w:pPr>
            <w:r>
              <w:rPr>
                <w:sz w:val="16"/>
              </w:rPr>
              <w:t>Missing reminder_channel</w:t>
            </w:r>
          </w:p>
        </w:tc>
        <w:tc>
          <w:tcPr>
            <w:tcW w:w="3408" w:type="dxa"/>
            <w:vAlign w:val="center"/>
          </w:tcPr>
          <w:p w14:paraId="49502BDA">
            <w:pPr>
              <w:spacing w:after="0" w:line="240" w:lineRule="auto"/>
            </w:pPr>
            <w:r>
              <w:rPr>
                <w:sz w:val="16"/>
              </w:rPr>
              <w:t>1,366</w:t>
            </w:r>
          </w:p>
        </w:tc>
        <w:tc>
          <w:tcPr>
            <w:tcW w:w="3408" w:type="dxa"/>
            <w:vAlign w:val="center"/>
          </w:tcPr>
          <w:p w14:paraId="01932479">
            <w:pPr>
              <w:spacing w:after="0" w:line="240" w:lineRule="auto"/>
            </w:pPr>
            <w:r>
              <w:rPr>
                <w:sz w:val="16"/>
              </w:rPr>
              <w:t>Retained. 'None' is a valid category and was not treated as null.</w:t>
            </w:r>
          </w:p>
        </w:tc>
      </w:tr>
      <w:tr w14:paraId="04B30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0A879EB">
            <w:pPr>
              <w:spacing w:after="0" w:line="240" w:lineRule="auto"/>
            </w:pPr>
            <w:r>
              <w:rPr>
                <w:sz w:val="16"/>
              </w:rPr>
              <w:t>Missing distance_to_clinic_km</w:t>
            </w:r>
          </w:p>
        </w:tc>
        <w:tc>
          <w:tcPr>
            <w:tcW w:w="3408" w:type="dxa"/>
            <w:vAlign w:val="center"/>
          </w:tcPr>
          <w:p w14:paraId="646CAAE6">
            <w:pPr>
              <w:spacing w:after="0" w:line="240" w:lineRule="auto"/>
            </w:pPr>
            <w:r>
              <w:rPr>
                <w:sz w:val="16"/>
              </w:rPr>
              <w:t>90</w:t>
            </w:r>
          </w:p>
        </w:tc>
        <w:tc>
          <w:tcPr>
            <w:tcW w:w="3408" w:type="dxa"/>
            <w:vAlign w:val="center"/>
          </w:tcPr>
          <w:p w14:paraId="7412655D">
            <w:pPr>
              <w:spacing w:after="0" w:line="240" w:lineRule="auto"/>
            </w:pPr>
            <w:r>
              <w:rPr>
                <w:sz w:val="16"/>
              </w:rPr>
              <w:t>Null values retained; no rows deleted.</w:t>
            </w:r>
          </w:p>
        </w:tc>
      </w:tr>
      <w:tr w14:paraId="4264E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460B36A">
            <w:pPr>
              <w:spacing w:after="0" w:line="240" w:lineRule="auto"/>
            </w:pPr>
            <w:r>
              <w:rPr>
                <w:sz w:val="16"/>
              </w:rPr>
              <w:t>Missing waiting_time_minutes</w:t>
            </w:r>
          </w:p>
        </w:tc>
        <w:tc>
          <w:tcPr>
            <w:tcW w:w="3408" w:type="dxa"/>
            <w:vAlign w:val="center"/>
          </w:tcPr>
          <w:p w14:paraId="34892EAB">
            <w:pPr>
              <w:spacing w:after="0" w:line="240" w:lineRule="auto"/>
            </w:pPr>
            <w:r>
              <w:rPr>
                <w:sz w:val="16"/>
              </w:rPr>
              <w:t>60</w:t>
            </w:r>
          </w:p>
        </w:tc>
        <w:tc>
          <w:tcPr>
            <w:tcW w:w="3408" w:type="dxa"/>
            <w:vAlign w:val="center"/>
          </w:tcPr>
          <w:p w14:paraId="56637C44">
            <w:pPr>
              <w:spacing w:after="0" w:line="240" w:lineRule="auto"/>
            </w:pPr>
            <w:r>
              <w:rPr>
                <w:sz w:val="16"/>
              </w:rPr>
              <w:t>Null values retained; no rows deleted.</w:t>
            </w:r>
          </w:p>
        </w:tc>
      </w:tr>
      <w:tr w14:paraId="705E1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F35BC49">
            <w:pPr>
              <w:spacing w:after="0" w:line="240" w:lineRule="auto"/>
            </w:pPr>
            <w:r>
              <w:rPr>
                <w:sz w:val="16"/>
              </w:rPr>
              <w:t>Core ID/outcome fields</w:t>
            </w:r>
          </w:p>
        </w:tc>
        <w:tc>
          <w:tcPr>
            <w:tcW w:w="3408" w:type="dxa"/>
            <w:vAlign w:val="center"/>
          </w:tcPr>
          <w:p w14:paraId="2AEAAF7B">
            <w:pPr>
              <w:spacing w:after="0" w:line="240" w:lineRule="auto"/>
            </w:pPr>
            <w:r>
              <w:rPr>
                <w:sz w:val="16"/>
              </w:rPr>
              <w:t>No missing values identified</w:t>
            </w:r>
          </w:p>
        </w:tc>
        <w:tc>
          <w:tcPr>
            <w:tcW w:w="3408" w:type="dxa"/>
            <w:vAlign w:val="center"/>
          </w:tcPr>
          <w:p w14:paraId="0D5E0A38">
            <w:pPr>
              <w:spacing w:after="0" w:line="240" w:lineRule="auto"/>
            </w:pPr>
            <w:r>
              <w:rPr>
                <w:sz w:val="16"/>
              </w:rPr>
              <w:t>Suitable for KPI and outcome analysis.</w:t>
            </w:r>
          </w:p>
        </w:tc>
      </w:tr>
      <w:tr w14:paraId="5A169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97EBC87">
            <w:pPr>
              <w:spacing w:after="0" w:line="240" w:lineRule="auto"/>
            </w:pPr>
            <w:r>
              <w:rPr>
                <w:sz w:val="16"/>
              </w:rPr>
              <w:t>Inconsistent values</w:t>
            </w:r>
          </w:p>
        </w:tc>
        <w:tc>
          <w:tcPr>
            <w:tcW w:w="3408" w:type="dxa"/>
            <w:vAlign w:val="center"/>
          </w:tcPr>
          <w:p w14:paraId="0EAC291D">
            <w:pPr>
              <w:spacing w:after="0" w:line="240" w:lineRule="auto"/>
            </w:pPr>
            <w:r>
              <w:rPr>
                <w:sz w:val="16"/>
              </w:rPr>
              <w:t>No material inconsistencies identified</w:t>
            </w:r>
          </w:p>
        </w:tc>
        <w:tc>
          <w:tcPr>
            <w:tcW w:w="3408" w:type="dxa"/>
            <w:vAlign w:val="center"/>
          </w:tcPr>
          <w:p w14:paraId="5C0F1DA5">
            <w:pPr>
              <w:spacing w:after="0" w:line="240" w:lineRule="auto"/>
            </w:pPr>
            <w:r>
              <w:rPr>
                <w:sz w:val="16"/>
              </w:rPr>
              <w:t>Categories and logical relationships checked.</w:t>
            </w:r>
          </w:p>
        </w:tc>
      </w:tr>
      <w:tr w14:paraId="32844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FF31DC0">
            <w:pPr>
              <w:spacing w:after="0" w:line="240" w:lineRule="auto"/>
            </w:pPr>
            <w:r>
              <w:rPr>
                <w:sz w:val="16"/>
              </w:rPr>
              <w:t>Original dataset</w:t>
            </w:r>
          </w:p>
        </w:tc>
        <w:tc>
          <w:tcPr>
            <w:tcW w:w="3408" w:type="dxa"/>
            <w:vAlign w:val="center"/>
          </w:tcPr>
          <w:p w14:paraId="75C35B9F">
            <w:pPr>
              <w:spacing w:after="0" w:line="240" w:lineRule="auto"/>
            </w:pPr>
            <w:r>
              <w:rPr>
                <w:sz w:val="16"/>
              </w:rPr>
              <w:t>Preserved</w:t>
            </w:r>
          </w:p>
        </w:tc>
        <w:tc>
          <w:tcPr>
            <w:tcW w:w="3408" w:type="dxa"/>
            <w:vAlign w:val="center"/>
          </w:tcPr>
          <w:p w14:paraId="7D5D19BD">
            <w:pPr>
              <w:spacing w:after="0" w:line="240" w:lineRule="auto"/>
            </w:pPr>
            <w:r>
              <w:rPr>
                <w:sz w:val="16"/>
              </w:rPr>
              <w:t>No overwrite of source file.</w:t>
            </w:r>
          </w:p>
        </w:tc>
      </w:tr>
    </w:tbl>
    <w:p w14:paraId="41B06B38">
      <w:pPr>
        <w:spacing w:after="20"/>
      </w:pPr>
    </w:p>
    <w:p w14:paraId="6E93E307">
      <w:pPr>
        <w:pStyle w:val="3"/>
      </w:pPr>
      <w:r>
        <w:t>4.1 Dataset Columns and Structure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4510C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tcPr>
          <w:p w14:paraId="31728A3E">
            <w:pPr>
              <w:spacing w:after="0" w:line="240" w:lineRule="auto"/>
            </w:pPr>
            <w:r>
              <w:rPr>
                <w:b/>
                <w:sz w:val="16"/>
              </w:rPr>
              <w:t>Column</w:t>
            </w:r>
          </w:p>
        </w:tc>
        <w:tc>
          <w:tcPr>
            <w:tcW w:w="3408" w:type="dxa"/>
            <w:shd w:val="clear" w:color="auto" w:fill="D9EAF7"/>
          </w:tcPr>
          <w:p w14:paraId="40614C06">
            <w:pPr>
              <w:spacing w:after="0" w:line="240" w:lineRule="auto"/>
            </w:pPr>
            <w:r>
              <w:rPr>
                <w:b/>
                <w:sz w:val="16"/>
              </w:rPr>
              <w:t>Type</w:t>
            </w:r>
          </w:p>
        </w:tc>
        <w:tc>
          <w:tcPr>
            <w:tcW w:w="3408" w:type="dxa"/>
            <w:shd w:val="clear" w:color="auto" w:fill="D9EAF7"/>
          </w:tcPr>
          <w:p w14:paraId="45149691">
            <w:pPr>
              <w:spacing w:after="0" w:line="240" w:lineRule="auto"/>
            </w:pPr>
            <w:r>
              <w:rPr>
                <w:b/>
                <w:sz w:val="16"/>
              </w:rPr>
              <w:t>Description / Use</w:t>
            </w:r>
          </w:p>
        </w:tc>
      </w:tr>
      <w:tr w14:paraId="5A42D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9EF6AFA">
            <w:pPr>
              <w:spacing w:after="0" w:line="240" w:lineRule="auto"/>
            </w:pPr>
            <w:r>
              <w:rPr>
                <w:sz w:val="16"/>
              </w:rPr>
              <w:t>appointment_id</w:t>
            </w:r>
          </w:p>
        </w:tc>
        <w:tc>
          <w:tcPr>
            <w:tcW w:w="3408" w:type="dxa"/>
            <w:vAlign w:val="center"/>
          </w:tcPr>
          <w:p w14:paraId="74888EAC">
            <w:pPr>
              <w:spacing w:after="0" w:line="240" w:lineRule="auto"/>
            </w:pPr>
            <w:r>
              <w:rPr>
                <w:sz w:val="16"/>
              </w:rPr>
              <w:t>Text/ID</w:t>
            </w:r>
          </w:p>
        </w:tc>
        <w:tc>
          <w:tcPr>
            <w:tcW w:w="3408" w:type="dxa"/>
            <w:vAlign w:val="center"/>
          </w:tcPr>
          <w:p w14:paraId="42A8426E">
            <w:pPr>
              <w:spacing w:after="0" w:line="240" w:lineRule="auto"/>
            </w:pPr>
            <w:r>
              <w:rPr>
                <w:sz w:val="16"/>
              </w:rPr>
              <w:t>Unique appointment identifier</w:t>
            </w:r>
          </w:p>
        </w:tc>
      </w:tr>
      <w:tr w14:paraId="0EE29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F56BC31">
            <w:pPr>
              <w:spacing w:after="0" w:line="240" w:lineRule="auto"/>
            </w:pPr>
            <w:r>
              <w:rPr>
                <w:sz w:val="16"/>
              </w:rPr>
              <w:t>patient_id</w:t>
            </w:r>
          </w:p>
        </w:tc>
        <w:tc>
          <w:tcPr>
            <w:tcW w:w="3408" w:type="dxa"/>
            <w:vAlign w:val="center"/>
          </w:tcPr>
          <w:p w14:paraId="33086754">
            <w:pPr>
              <w:spacing w:after="0" w:line="240" w:lineRule="auto"/>
            </w:pPr>
            <w:r>
              <w:rPr>
                <w:sz w:val="16"/>
              </w:rPr>
              <w:t>Text/ID</w:t>
            </w:r>
          </w:p>
        </w:tc>
        <w:tc>
          <w:tcPr>
            <w:tcW w:w="3408" w:type="dxa"/>
            <w:vAlign w:val="center"/>
          </w:tcPr>
          <w:p w14:paraId="6A8C69A8">
            <w:pPr>
              <w:spacing w:after="0" w:line="240" w:lineRule="auto"/>
            </w:pPr>
            <w:r>
              <w:rPr>
                <w:sz w:val="16"/>
              </w:rPr>
              <w:t>Patient identifier</w:t>
            </w:r>
          </w:p>
        </w:tc>
      </w:tr>
      <w:tr w14:paraId="46A50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7ADB1F1">
            <w:pPr>
              <w:spacing w:after="0" w:line="240" w:lineRule="auto"/>
            </w:pPr>
            <w:r>
              <w:rPr>
                <w:sz w:val="16"/>
              </w:rPr>
              <w:t>gender</w:t>
            </w:r>
          </w:p>
        </w:tc>
        <w:tc>
          <w:tcPr>
            <w:tcW w:w="3408" w:type="dxa"/>
            <w:vAlign w:val="center"/>
          </w:tcPr>
          <w:p w14:paraId="14EEB57C">
            <w:pPr>
              <w:spacing w:after="0" w:line="240" w:lineRule="auto"/>
            </w:pPr>
            <w:r>
              <w:rPr>
                <w:sz w:val="16"/>
              </w:rPr>
              <w:t>Text</w:t>
            </w:r>
          </w:p>
        </w:tc>
        <w:tc>
          <w:tcPr>
            <w:tcW w:w="3408" w:type="dxa"/>
            <w:vAlign w:val="center"/>
          </w:tcPr>
          <w:p w14:paraId="2B3227C1">
            <w:pPr>
              <w:spacing w:after="0" w:line="240" w:lineRule="auto"/>
            </w:pPr>
            <w:r>
              <w:rPr>
                <w:sz w:val="16"/>
              </w:rPr>
              <w:t>Patient gender category</w:t>
            </w:r>
          </w:p>
        </w:tc>
      </w:tr>
      <w:tr w14:paraId="2BCB3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79E100C">
            <w:pPr>
              <w:spacing w:after="0" w:line="240" w:lineRule="auto"/>
            </w:pPr>
            <w:r>
              <w:rPr>
                <w:sz w:val="16"/>
              </w:rPr>
              <w:t>age</w:t>
            </w:r>
          </w:p>
        </w:tc>
        <w:tc>
          <w:tcPr>
            <w:tcW w:w="3408" w:type="dxa"/>
            <w:vAlign w:val="center"/>
          </w:tcPr>
          <w:p w14:paraId="464004D9">
            <w:pPr>
              <w:spacing w:after="0" w:line="240" w:lineRule="auto"/>
            </w:pPr>
            <w:r>
              <w:rPr>
                <w:sz w:val="16"/>
              </w:rPr>
              <w:t>Whole Number</w:t>
            </w:r>
          </w:p>
        </w:tc>
        <w:tc>
          <w:tcPr>
            <w:tcW w:w="3408" w:type="dxa"/>
            <w:vAlign w:val="center"/>
          </w:tcPr>
          <w:p w14:paraId="117D9F43">
            <w:pPr>
              <w:spacing w:after="0" w:line="240" w:lineRule="auto"/>
            </w:pPr>
            <w:r>
              <w:rPr>
                <w:sz w:val="16"/>
              </w:rPr>
              <w:t>Patient age</w:t>
            </w:r>
          </w:p>
        </w:tc>
      </w:tr>
      <w:tr w14:paraId="1CB90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C12B72A">
            <w:pPr>
              <w:spacing w:after="0" w:line="240" w:lineRule="auto"/>
            </w:pPr>
            <w:r>
              <w:rPr>
                <w:sz w:val="16"/>
              </w:rPr>
              <w:t>age_group</w:t>
            </w:r>
          </w:p>
        </w:tc>
        <w:tc>
          <w:tcPr>
            <w:tcW w:w="3408" w:type="dxa"/>
            <w:vAlign w:val="center"/>
          </w:tcPr>
          <w:p w14:paraId="1FD97462">
            <w:pPr>
              <w:spacing w:after="0" w:line="240" w:lineRule="auto"/>
            </w:pPr>
            <w:r>
              <w:rPr>
                <w:sz w:val="16"/>
              </w:rPr>
              <w:t>Text</w:t>
            </w:r>
          </w:p>
        </w:tc>
        <w:tc>
          <w:tcPr>
            <w:tcW w:w="3408" w:type="dxa"/>
            <w:vAlign w:val="center"/>
          </w:tcPr>
          <w:p w14:paraId="3069AAC3">
            <w:pPr>
              <w:spacing w:after="0" w:line="240" w:lineRule="auto"/>
            </w:pPr>
            <w:r>
              <w:rPr>
                <w:sz w:val="16"/>
              </w:rPr>
              <w:t>Age category</w:t>
            </w:r>
          </w:p>
        </w:tc>
      </w:tr>
      <w:tr w14:paraId="4132C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B93A27F">
            <w:pPr>
              <w:spacing w:after="0" w:line="240" w:lineRule="auto"/>
            </w:pPr>
            <w:r>
              <w:rPr>
                <w:sz w:val="16"/>
              </w:rPr>
              <w:t>appointment_type</w:t>
            </w:r>
          </w:p>
        </w:tc>
        <w:tc>
          <w:tcPr>
            <w:tcW w:w="3408" w:type="dxa"/>
            <w:vAlign w:val="center"/>
          </w:tcPr>
          <w:p w14:paraId="20D5D06E">
            <w:pPr>
              <w:spacing w:after="0" w:line="240" w:lineRule="auto"/>
            </w:pPr>
            <w:r>
              <w:rPr>
                <w:sz w:val="16"/>
              </w:rPr>
              <w:t>Text</w:t>
            </w:r>
          </w:p>
        </w:tc>
        <w:tc>
          <w:tcPr>
            <w:tcW w:w="3408" w:type="dxa"/>
            <w:vAlign w:val="center"/>
          </w:tcPr>
          <w:p w14:paraId="111B00B7">
            <w:pPr>
              <w:spacing w:after="0" w:line="240" w:lineRule="auto"/>
            </w:pPr>
            <w:r>
              <w:rPr>
                <w:sz w:val="16"/>
              </w:rPr>
              <w:t>Type of appointment</w:t>
            </w:r>
          </w:p>
        </w:tc>
      </w:tr>
      <w:tr w14:paraId="6B9A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062016B">
            <w:pPr>
              <w:spacing w:after="0" w:line="240" w:lineRule="auto"/>
            </w:pPr>
            <w:r>
              <w:rPr>
                <w:sz w:val="16"/>
              </w:rPr>
              <w:t>booking_date</w:t>
            </w:r>
          </w:p>
        </w:tc>
        <w:tc>
          <w:tcPr>
            <w:tcW w:w="3408" w:type="dxa"/>
            <w:vAlign w:val="center"/>
          </w:tcPr>
          <w:p w14:paraId="2B01A2FC">
            <w:pPr>
              <w:spacing w:after="0" w:line="240" w:lineRule="auto"/>
            </w:pPr>
            <w:r>
              <w:rPr>
                <w:sz w:val="16"/>
              </w:rPr>
              <w:t>Date</w:t>
            </w:r>
          </w:p>
        </w:tc>
        <w:tc>
          <w:tcPr>
            <w:tcW w:w="3408" w:type="dxa"/>
            <w:vAlign w:val="center"/>
          </w:tcPr>
          <w:p w14:paraId="5F956D7B">
            <w:pPr>
              <w:spacing w:after="0" w:line="240" w:lineRule="auto"/>
            </w:pPr>
            <w:r>
              <w:rPr>
                <w:sz w:val="16"/>
              </w:rPr>
              <w:t>Date appointment was booked</w:t>
            </w:r>
          </w:p>
        </w:tc>
      </w:tr>
      <w:tr w14:paraId="6CCF0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7DA5CA7">
            <w:pPr>
              <w:spacing w:after="0" w:line="240" w:lineRule="auto"/>
            </w:pPr>
            <w:r>
              <w:rPr>
                <w:sz w:val="16"/>
              </w:rPr>
              <w:t>appointment_date</w:t>
            </w:r>
          </w:p>
        </w:tc>
        <w:tc>
          <w:tcPr>
            <w:tcW w:w="3408" w:type="dxa"/>
            <w:vAlign w:val="center"/>
          </w:tcPr>
          <w:p w14:paraId="4F561178">
            <w:pPr>
              <w:spacing w:after="0" w:line="240" w:lineRule="auto"/>
            </w:pPr>
            <w:r>
              <w:rPr>
                <w:sz w:val="16"/>
              </w:rPr>
              <w:t>Date</w:t>
            </w:r>
          </w:p>
        </w:tc>
        <w:tc>
          <w:tcPr>
            <w:tcW w:w="3408" w:type="dxa"/>
            <w:vAlign w:val="center"/>
          </w:tcPr>
          <w:p w14:paraId="673EC05B">
            <w:pPr>
              <w:spacing w:after="0" w:line="240" w:lineRule="auto"/>
            </w:pPr>
            <w:r>
              <w:rPr>
                <w:sz w:val="16"/>
              </w:rPr>
              <w:t>Scheduled appointment date</w:t>
            </w:r>
          </w:p>
        </w:tc>
      </w:tr>
      <w:tr w14:paraId="55F60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B938123">
            <w:pPr>
              <w:spacing w:after="0" w:line="240" w:lineRule="auto"/>
            </w:pPr>
            <w:r>
              <w:rPr>
                <w:sz w:val="16"/>
              </w:rPr>
              <w:t>appointment_day</w:t>
            </w:r>
          </w:p>
        </w:tc>
        <w:tc>
          <w:tcPr>
            <w:tcW w:w="3408" w:type="dxa"/>
            <w:vAlign w:val="center"/>
          </w:tcPr>
          <w:p w14:paraId="7703606B">
            <w:pPr>
              <w:spacing w:after="0" w:line="240" w:lineRule="auto"/>
            </w:pPr>
            <w:r>
              <w:rPr>
                <w:sz w:val="16"/>
              </w:rPr>
              <w:t>Text</w:t>
            </w:r>
          </w:p>
        </w:tc>
        <w:tc>
          <w:tcPr>
            <w:tcW w:w="3408" w:type="dxa"/>
            <w:vAlign w:val="center"/>
          </w:tcPr>
          <w:p w14:paraId="4B312286">
            <w:pPr>
              <w:spacing w:after="0" w:line="240" w:lineRule="auto"/>
            </w:pPr>
            <w:r>
              <w:rPr>
                <w:sz w:val="16"/>
              </w:rPr>
              <w:t>Day of week of appointment</w:t>
            </w:r>
          </w:p>
        </w:tc>
      </w:tr>
      <w:tr w14:paraId="1F054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9C8CB85">
            <w:pPr>
              <w:spacing w:after="0" w:line="240" w:lineRule="auto"/>
            </w:pPr>
            <w:r>
              <w:rPr>
                <w:sz w:val="16"/>
              </w:rPr>
              <w:t>appointment_time</w:t>
            </w:r>
          </w:p>
        </w:tc>
        <w:tc>
          <w:tcPr>
            <w:tcW w:w="3408" w:type="dxa"/>
            <w:vAlign w:val="center"/>
          </w:tcPr>
          <w:p w14:paraId="3DBBFF19">
            <w:pPr>
              <w:spacing w:after="0" w:line="240" w:lineRule="auto"/>
            </w:pPr>
            <w:r>
              <w:rPr>
                <w:sz w:val="16"/>
              </w:rPr>
              <w:t>Time/Category</w:t>
            </w:r>
          </w:p>
        </w:tc>
        <w:tc>
          <w:tcPr>
            <w:tcW w:w="3408" w:type="dxa"/>
            <w:vAlign w:val="center"/>
          </w:tcPr>
          <w:p w14:paraId="7153F720">
            <w:pPr>
              <w:spacing w:after="0" w:line="240" w:lineRule="auto"/>
            </w:pPr>
            <w:r>
              <w:rPr>
                <w:sz w:val="16"/>
              </w:rPr>
              <w:t>Appointment time / time period</w:t>
            </w:r>
          </w:p>
        </w:tc>
      </w:tr>
      <w:tr w14:paraId="36AE2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743A29D">
            <w:pPr>
              <w:spacing w:after="0" w:line="240" w:lineRule="auto"/>
            </w:pPr>
            <w:r>
              <w:rPr>
                <w:sz w:val="16"/>
              </w:rPr>
              <w:t>booking_lead_days</w:t>
            </w:r>
          </w:p>
        </w:tc>
        <w:tc>
          <w:tcPr>
            <w:tcW w:w="3408" w:type="dxa"/>
            <w:vAlign w:val="center"/>
          </w:tcPr>
          <w:p w14:paraId="5C8D8895">
            <w:pPr>
              <w:spacing w:after="0" w:line="240" w:lineRule="auto"/>
            </w:pPr>
            <w:r>
              <w:rPr>
                <w:sz w:val="16"/>
              </w:rPr>
              <w:t>Whole Number</w:t>
            </w:r>
          </w:p>
        </w:tc>
        <w:tc>
          <w:tcPr>
            <w:tcW w:w="3408" w:type="dxa"/>
            <w:vAlign w:val="center"/>
          </w:tcPr>
          <w:p w14:paraId="36DAC418">
            <w:pPr>
              <w:spacing w:after="0" w:line="240" w:lineRule="auto"/>
            </w:pPr>
            <w:r>
              <w:rPr>
                <w:sz w:val="16"/>
              </w:rPr>
              <w:t>Days between booking and appointment</w:t>
            </w:r>
          </w:p>
        </w:tc>
      </w:tr>
      <w:tr w14:paraId="349D9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90F6BC9">
            <w:pPr>
              <w:spacing w:after="0" w:line="240" w:lineRule="auto"/>
            </w:pPr>
            <w:r>
              <w:rPr>
                <w:sz w:val="16"/>
              </w:rPr>
              <w:t>previous_appointments</w:t>
            </w:r>
          </w:p>
        </w:tc>
        <w:tc>
          <w:tcPr>
            <w:tcW w:w="3408" w:type="dxa"/>
            <w:vAlign w:val="center"/>
          </w:tcPr>
          <w:p w14:paraId="74F02657">
            <w:pPr>
              <w:spacing w:after="0" w:line="240" w:lineRule="auto"/>
            </w:pPr>
            <w:r>
              <w:rPr>
                <w:sz w:val="16"/>
              </w:rPr>
              <w:t>Whole Number</w:t>
            </w:r>
          </w:p>
        </w:tc>
        <w:tc>
          <w:tcPr>
            <w:tcW w:w="3408" w:type="dxa"/>
            <w:vAlign w:val="center"/>
          </w:tcPr>
          <w:p w14:paraId="3667C2C9">
            <w:pPr>
              <w:spacing w:after="0" w:line="240" w:lineRule="auto"/>
            </w:pPr>
            <w:r>
              <w:rPr>
                <w:sz w:val="16"/>
              </w:rPr>
              <w:t>Number of previous appointments</w:t>
            </w:r>
          </w:p>
        </w:tc>
      </w:tr>
      <w:tr w14:paraId="6F559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D104384">
            <w:pPr>
              <w:spacing w:after="0" w:line="240" w:lineRule="auto"/>
            </w:pPr>
            <w:r>
              <w:rPr>
                <w:sz w:val="16"/>
              </w:rPr>
              <w:t>previous_no_shows</w:t>
            </w:r>
          </w:p>
        </w:tc>
        <w:tc>
          <w:tcPr>
            <w:tcW w:w="3408" w:type="dxa"/>
            <w:vAlign w:val="center"/>
          </w:tcPr>
          <w:p w14:paraId="7CC88276">
            <w:pPr>
              <w:spacing w:after="0" w:line="240" w:lineRule="auto"/>
            </w:pPr>
            <w:r>
              <w:rPr>
                <w:sz w:val="16"/>
              </w:rPr>
              <w:t>Whole Number</w:t>
            </w:r>
          </w:p>
        </w:tc>
        <w:tc>
          <w:tcPr>
            <w:tcW w:w="3408" w:type="dxa"/>
            <w:vAlign w:val="center"/>
          </w:tcPr>
          <w:p w14:paraId="3E00A525">
            <w:pPr>
              <w:spacing w:after="0" w:line="240" w:lineRule="auto"/>
            </w:pPr>
            <w:r>
              <w:rPr>
                <w:sz w:val="16"/>
              </w:rPr>
              <w:t>Number of previous missed appointments</w:t>
            </w:r>
          </w:p>
        </w:tc>
      </w:tr>
      <w:tr w14:paraId="4EAD5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D660DDE">
            <w:pPr>
              <w:spacing w:after="0" w:line="240" w:lineRule="auto"/>
            </w:pPr>
            <w:r>
              <w:rPr>
                <w:sz w:val="16"/>
              </w:rPr>
              <w:t>reminder_sent</w:t>
            </w:r>
          </w:p>
        </w:tc>
        <w:tc>
          <w:tcPr>
            <w:tcW w:w="3408" w:type="dxa"/>
            <w:vAlign w:val="center"/>
          </w:tcPr>
          <w:p w14:paraId="3C29BBCF">
            <w:pPr>
              <w:spacing w:after="0" w:line="240" w:lineRule="auto"/>
            </w:pPr>
            <w:r>
              <w:rPr>
                <w:sz w:val="16"/>
              </w:rPr>
              <w:t>Text</w:t>
            </w:r>
          </w:p>
        </w:tc>
        <w:tc>
          <w:tcPr>
            <w:tcW w:w="3408" w:type="dxa"/>
            <w:vAlign w:val="center"/>
          </w:tcPr>
          <w:p w14:paraId="6D08DCA0">
            <w:pPr>
              <w:spacing w:after="0" w:line="240" w:lineRule="auto"/>
            </w:pPr>
            <w:r>
              <w:rPr>
                <w:sz w:val="16"/>
              </w:rPr>
              <w:t>Whether a reminder was sent</w:t>
            </w:r>
          </w:p>
        </w:tc>
      </w:tr>
      <w:tr w14:paraId="3A3CB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DDD8C04">
            <w:pPr>
              <w:spacing w:after="0" w:line="240" w:lineRule="auto"/>
            </w:pPr>
            <w:r>
              <w:rPr>
                <w:sz w:val="16"/>
              </w:rPr>
              <w:t>reminder_channel</w:t>
            </w:r>
          </w:p>
        </w:tc>
        <w:tc>
          <w:tcPr>
            <w:tcW w:w="3408" w:type="dxa"/>
            <w:vAlign w:val="center"/>
          </w:tcPr>
          <w:p w14:paraId="63DA2834">
            <w:pPr>
              <w:spacing w:after="0" w:line="240" w:lineRule="auto"/>
            </w:pPr>
            <w:r>
              <w:rPr>
                <w:sz w:val="16"/>
              </w:rPr>
              <w:t>Text</w:t>
            </w:r>
          </w:p>
        </w:tc>
        <w:tc>
          <w:tcPr>
            <w:tcW w:w="3408" w:type="dxa"/>
            <w:vAlign w:val="center"/>
          </w:tcPr>
          <w:p w14:paraId="5D504D8E">
            <w:pPr>
              <w:spacing w:after="0" w:line="240" w:lineRule="auto"/>
            </w:pPr>
            <w:r>
              <w:rPr>
                <w:sz w:val="16"/>
              </w:rPr>
              <w:t>Email, SMS, WhatsApp or None</w:t>
            </w:r>
          </w:p>
        </w:tc>
      </w:tr>
      <w:tr w14:paraId="5DDD5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9A5DA33">
            <w:pPr>
              <w:spacing w:after="0" w:line="240" w:lineRule="auto"/>
            </w:pPr>
            <w:r>
              <w:rPr>
                <w:sz w:val="16"/>
              </w:rPr>
              <w:t>distance_to_clinic_km</w:t>
            </w:r>
          </w:p>
        </w:tc>
        <w:tc>
          <w:tcPr>
            <w:tcW w:w="3408" w:type="dxa"/>
            <w:vAlign w:val="center"/>
          </w:tcPr>
          <w:p w14:paraId="61238C8A">
            <w:pPr>
              <w:spacing w:after="0" w:line="240" w:lineRule="auto"/>
            </w:pPr>
            <w:r>
              <w:rPr>
                <w:sz w:val="16"/>
              </w:rPr>
              <w:t>Decimal Number</w:t>
            </w:r>
          </w:p>
        </w:tc>
        <w:tc>
          <w:tcPr>
            <w:tcW w:w="3408" w:type="dxa"/>
            <w:vAlign w:val="center"/>
          </w:tcPr>
          <w:p w14:paraId="1FA5D3F0">
            <w:pPr>
              <w:spacing w:after="0" w:line="240" w:lineRule="auto"/>
            </w:pPr>
            <w:r>
              <w:rPr>
                <w:sz w:val="16"/>
              </w:rPr>
              <w:t>Distance from patient to clinic</w:t>
            </w:r>
          </w:p>
        </w:tc>
      </w:tr>
      <w:tr w14:paraId="40D00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F4CA936">
            <w:pPr>
              <w:spacing w:after="0" w:line="240" w:lineRule="auto"/>
            </w:pPr>
            <w:r>
              <w:rPr>
                <w:sz w:val="16"/>
              </w:rPr>
              <w:t>waiting_time_minutes</w:t>
            </w:r>
          </w:p>
        </w:tc>
        <w:tc>
          <w:tcPr>
            <w:tcW w:w="3408" w:type="dxa"/>
            <w:vAlign w:val="center"/>
          </w:tcPr>
          <w:p w14:paraId="4CEF77BF">
            <w:pPr>
              <w:spacing w:after="0" w:line="240" w:lineRule="auto"/>
            </w:pPr>
            <w:r>
              <w:rPr>
                <w:sz w:val="16"/>
              </w:rPr>
              <w:t>Whole Number</w:t>
            </w:r>
          </w:p>
        </w:tc>
        <w:tc>
          <w:tcPr>
            <w:tcW w:w="3408" w:type="dxa"/>
            <w:vAlign w:val="center"/>
          </w:tcPr>
          <w:p w14:paraId="058700AF">
            <w:pPr>
              <w:spacing w:after="0" w:line="240" w:lineRule="auto"/>
            </w:pPr>
            <w:r>
              <w:rPr>
                <w:sz w:val="16"/>
              </w:rPr>
              <w:t>Waiting time in minutes</w:t>
            </w:r>
          </w:p>
        </w:tc>
      </w:tr>
      <w:tr w14:paraId="35BA7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E938B53">
            <w:pPr>
              <w:spacing w:after="0" w:line="240" w:lineRule="auto"/>
            </w:pPr>
            <w:r>
              <w:rPr>
                <w:sz w:val="16"/>
              </w:rPr>
              <w:t>appointment_outcome</w:t>
            </w:r>
          </w:p>
        </w:tc>
        <w:tc>
          <w:tcPr>
            <w:tcW w:w="3408" w:type="dxa"/>
            <w:vAlign w:val="center"/>
          </w:tcPr>
          <w:p w14:paraId="6C45BD24">
            <w:pPr>
              <w:spacing w:after="0" w:line="240" w:lineRule="auto"/>
            </w:pPr>
            <w:r>
              <w:rPr>
                <w:sz w:val="16"/>
              </w:rPr>
              <w:t>Text</w:t>
            </w:r>
          </w:p>
        </w:tc>
        <w:tc>
          <w:tcPr>
            <w:tcW w:w="3408" w:type="dxa"/>
            <w:vAlign w:val="center"/>
          </w:tcPr>
          <w:p w14:paraId="7569F296">
            <w:pPr>
              <w:spacing w:after="0" w:line="240" w:lineRule="auto"/>
            </w:pPr>
            <w:r>
              <w:rPr>
                <w:sz w:val="16"/>
              </w:rPr>
              <w:t>Attended, No-Show or Cancelled</w:t>
            </w:r>
          </w:p>
        </w:tc>
      </w:tr>
    </w:tbl>
    <w:p w14:paraId="6239C49D">
      <w:pPr>
        <w:spacing w:after="20"/>
      </w:pPr>
    </w:p>
    <w:p w14:paraId="5F6C30A7">
      <w:pPr>
        <w:pStyle w:val="3"/>
      </w:pPr>
      <w:r>
        <w:t>4.2 Data Validation Checks</w:t>
      </w:r>
    </w:p>
    <w:p w14:paraId="5F00316C">
      <w:pPr>
        <w:pStyle w:val="23"/>
        <w:spacing w:after="40"/>
      </w:pPr>
      <w:r>
        <w:t>Age values were within the observed range of 18–80 years.</w:t>
      </w:r>
    </w:p>
    <w:p w14:paraId="287715DF">
      <w:pPr>
        <w:pStyle w:val="23"/>
        <w:spacing w:after="40"/>
      </w:pPr>
      <w:r>
        <w:t>Booking lead time values were within 0–60 days.</w:t>
      </w:r>
    </w:p>
    <w:p w14:paraId="78035E91">
      <w:pPr>
        <w:pStyle w:val="23"/>
        <w:spacing w:after="40"/>
      </w:pPr>
      <w:r>
        <w:t>Previous no-shows did not exceed previous appointments.</w:t>
      </w:r>
    </w:p>
    <w:p w14:paraId="285D704B">
      <w:pPr>
        <w:pStyle w:val="23"/>
        <w:spacing w:after="40"/>
      </w:pPr>
      <w:r>
        <w:t>Appointment day was consistent with appointment date.</w:t>
      </w:r>
    </w:p>
    <w:p w14:paraId="0E6E25AA">
      <w:pPr>
        <w:pStyle w:val="23"/>
        <w:spacing w:after="40"/>
      </w:pPr>
      <w:r>
        <w:t>Age group was consistent with age.</w:t>
      </w:r>
    </w:p>
    <w:p w14:paraId="08690E87">
      <w:pPr>
        <w:pStyle w:val="23"/>
        <w:spacing w:after="40"/>
      </w:pPr>
      <w:r>
        <w:t>Booking and appointment dates were consistent with booking lead days.</w:t>
      </w:r>
    </w:p>
    <w:p w14:paraId="4B5A2D26">
      <w:pPr>
        <w:pStyle w:val="23"/>
        <w:spacing w:after="40"/>
      </w:pPr>
      <w:r>
        <w:t>Appointment outcomes were consistently recorded as Attended, No-Show or Cancelled.</w:t>
      </w:r>
    </w:p>
    <w:p w14:paraId="08C756AD">
      <w:pPr>
        <w:pStyle w:val="23"/>
        <w:spacing w:after="40"/>
      </w:pPr>
      <w:r>
        <w:t>Reminder channels included Email, SMS, WhatsApp and None.</w:t>
      </w:r>
    </w:p>
    <w:p w14:paraId="05C8B7A1">
      <w:pPr>
        <w:pStyle w:val="23"/>
        <w:spacing w:after="40"/>
      </w:pPr>
      <w:r>
        <w:t>Distance and waiting-time fields were numeric where recorded.</w:t>
      </w:r>
    </w:p>
    <w:p w14:paraId="07771B5E">
      <w:r>
        <w:t>Missing distance and waiting-time values were not removed because deleting those rows could unnecessarily reduce the dataset and bias the analysis. The missing values were retained and treated as unavailable observations for analyses requiring those fields.</w:t>
      </w:r>
    </w:p>
    <w:p w14:paraId="15F3B166">
      <w:pPr>
        <w:pStyle w:val="2"/>
      </w:pPr>
      <w:r>
        <w:t>5. Analytical Method and Tools</w:t>
      </w:r>
    </w:p>
    <w:p w14:paraId="19893ED0">
      <w:r>
        <w:t>I used Microsoft Power BI for data preparation, KPI development, exploratory analysis and dashboard visualisation. Power Query was used to inspect and validate the dataset structure and data types. DAX measures were used to calculate the main KPIs and no-show rates used in the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5B954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tcPr>
          <w:p w14:paraId="535685C9">
            <w:pPr>
              <w:spacing w:after="0" w:line="240" w:lineRule="auto"/>
            </w:pPr>
            <w:r>
              <w:rPr>
                <w:b/>
                <w:sz w:val="16"/>
              </w:rPr>
              <w:t>Stage</w:t>
            </w:r>
          </w:p>
        </w:tc>
        <w:tc>
          <w:tcPr>
            <w:tcW w:w="3408" w:type="dxa"/>
            <w:shd w:val="clear" w:color="auto" w:fill="D9EAF7"/>
          </w:tcPr>
          <w:p w14:paraId="70EAAD35">
            <w:pPr>
              <w:spacing w:after="0" w:line="240" w:lineRule="auto"/>
            </w:pPr>
            <w:r>
              <w:rPr>
                <w:b/>
                <w:sz w:val="16"/>
              </w:rPr>
              <w:t>Activity</w:t>
            </w:r>
          </w:p>
        </w:tc>
        <w:tc>
          <w:tcPr>
            <w:tcW w:w="3408" w:type="dxa"/>
            <w:shd w:val="clear" w:color="auto" w:fill="D9EAF7"/>
          </w:tcPr>
          <w:p w14:paraId="67A50FB5">
            <w:pPr>
              <w:spacing w:after="0" w:line="240" w:lineRule="auto"/>
            </w:pPr>
            <w:r>
              <w:rPr>
                <w:b/>
                <w:sz w:val="16"/>
              </w:rPr>
              <w:t>Tool / Output</w:t>
            </w:r>
          </w:p>
        </w:tc>
      </w:tr>
      <w:tr w14:paraId="7A2AB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DCF1D05">
            <w:pPr>
              <w:spacing w:after="0" w:line="240" w:lineRule="auto"/>
            </w:pPr>
            <w:r>
              <w:rPr>
                <w:sz w:val="16"/>
              </w:rPr>
              <w:t>1. Data preparation</w:t>
            </w:r>
          </w:p>
        </w:tc>
        <w:tc>
          <w:tcPr>
            <w:tcW w:w="3408" w:type="dxa"/>
            <w:vAlign w:val="center"/>
          </w:tcPr>
          <w:p w14:paraId="4F48213E">
            <w:pPr>
              <w:spacing w:after="0" w:line="240" w:lineRule="auto"/>
            </w:pPr>
            <w:r>
              <w:rPr>
                <w:sz w:val="16"/>
              </w:rPr>
              <w:t>Inspect fields, types, missing values, duplicates and category consistency.</w:t>
            </w:r>
          </w:p>
        </w:tc>
        <w:tc>
          <w:tcPr>
            <w:tcW w:w="3408" w:type="dxa"/>
            <w:vAlign w:val="center"/>
          </w:tcPr>
          <w:p w14:paraId="64997D49">
            <w:pPr>
              <w:spacing w:after="0" w:line="240" w:lineRule="auto"/>
            </w:pPr>
            <w:r>
              <w:rPr>
                <w:sz w:val="16"/>
              </w:rPr>
              <w:t>Power Query / Power BI</w:t>
            </w:r>
          </w:p>
        </w:tc>
      </w:tr>
      <w:tr w14:paraId="22970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64011DB">
            <w:pPr>
              <w:spacing w:after="0" w:line="240" w:lineRule="auto"/>
            </w:pPr>
            <w:r>
              <w:rPr>
                <w:sz w:val="16"/>
              </w:rPr>
              <w:t>2. KPI development</w:t>
            </w:r>
          </w:p>
        </w:tc>
        <w:tc>
          <w:tcPr>
            <w:tcW w:w="3408" w:type="dxa"/>
            <w:vAlign w:val="center"/>
          </w:tcPr>
          <w:p w14:paraId="4A070077">
            <w:pPr>
              <w:spacing w:after="0" w:line="240" w:lineRule="auto"/>
            </w:pPr>
            <w:r>
              <w:rPr>
                <w:sz w:val="16"/>
              </w:rPr>
              <w:t>Create five measures from the Week 4 KPI candidates.</w:t>
            </w:r>
          </w:p>
        </w:tc>
        <w:tc>
          <w:tcPr>
            <w:tcW w:w="3408" w:type="dxa"/>
            <w:vAlign w:val="center"/>
          </w:tcPr>
          <w:p w14:paraId="0BF17938">
            <w:pPr>
              <w:spacing w:after="0" w:line="240" w:lineRule="auto"/>
            </w:pPr>
            <w:r>
              <w:rPr>
                <w:sz w:val="16"/>
              </w:rPr>
              <w:t>DAX / Power BI</w:t>
            </w:r>
          </w:p>
        </w:tc>
      </w:tr>
      <w:tr w14:paraId="62E8F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6A59E9E">
            <w:pPr>
              <w:spacing w:after="0" w:line="240" w:lineRule="auto"/>
            </w:pPr>
            <w:r>
              <w:rPr>
                <w:sz w:val="16"/>
              </w:rPr>
              <w:t>3. EDA</w:t>
            </w:r>
          </w:p>
        </w:tc>
        <w:tc>
          <w:tcPr>
            <w:tcW w:w="3408" w:type="dxa"/>
            <w:vAlign w:val="center"/>
          </w:tcPr>
          <w:p w14:paraId="6917D4E5">
            <w:pPr>
              <w:spacing w:after="0" w:line="240" w:lineRule="auto"/>
            </w:pPr>
            <w:r>
              <w:rPr>
                <w:sz w:val="16"/>
              </w:rPr>
              <w:t>Compare no-show rates across appointment, patient, reminder and history variables.</w:t>
            </w:r>
          </w:p>
        </w:tc>
        <w:tc>
          <w:tcPr>
            <w:tcW w:w="3408" w:type="dxa"/>
            <w:vAlign w:val="center"/>
          </w:tcPr>
          <w:p w14:paraId="5CFE0FD0">
            <w:pPr>
              <w:spacing w:after="0" w:line="240" w:lineRule="auto"/>
            </w:pPr>
            <w:r>
              <w:rPr>
                <w:sz w:val="16"/>
              </w:rPr>
              <w:t>Power BI visuals</w:t>
            </w:r>
          </w:p>
        </w:tc>
      </w:tr>
      <w:tr w14:paraId="746B2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87B8C7B">
            <w:pPr>
              <w:spacing w:after="0" w:line="240" w:lineRule="auto"/>
            </w:pPr>
            <w:r>
              <w:rPr>
                <w:sz w:val="16"/>
              </w:rPr>
              <w:t>4. Dashboard</w:t>
            </w:r>
          </w:p>
        </w:tc>
        <w:tc>
          <w:tcPr>
            <w:tcW w:w="3408" w:type="dxa"/>
            <w:vAlign w:val="center"/>
          </w:tcPr>
          <w:p w14:paraId="00447E23">
            <w:pPr>
              <w:spacing w:after="0" w:line="240" w:lineRule="auto"/>
            </w:pPr>
            <w:r>
              <w:rPr>
                <w:sz w:val="16"/>
              </w:rPr>
              <w:t>Present KPIs and key analytical visuals on a dedicated dashboard page.</w:t>
            </w:r>
          </w:p>
        </w:tc>
        <w:tc>
          <w:tcPr>
            <w:tcW w:w="3408" w:type="dxa"/>
            <w:vAlign w:val="center"/>
          </w:tcPr>
          <w:p w14:paraId="143FCE7F">
            <w:pPr>
              <w:spacing w:after="0" w:line="240" w:lineRule="auto"/>
            </w:pPr>
            <w:r>
              <w:rPr>
                <w:sz w:val="16"/>
              </w:rPr>
              <w:t>Power BI</w:t>
            </w:r>
          </w:p>
        </w:tc>
      </w:tr>
      <w:tr w14:paraId="1AD39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E2A71EB">
            <w:pPr>
              <w:spacing w:after="0" w:line="240" w:lineRule="auto"/>
            </w:pPr>
            <w:r>
              <w:rPr>
                <w:sz w:val="16"/>
              </w:rPr>
              <w:t>5. Interpretation</w:t>
            </w:r>
          </w:p>
        </w:tc>
        <w:tc>
          <w:tcPr>
            <w:tcW w:w="3408" w:type="dxa"/>
            <w:vAlign w:val="center"/>
          </w:tcPr>
          <w:p w14:paraId="128CA468">
            <w:pPr>
              <w:spacing w:after="0" w:line="240" w:lineRule="auto"/>
            </w:pPr>
            <w:r>
              <w:rPr>
                <w:sz w:val="16"/>
              </w:rPr>
              <w:t>Translate observed patterns into business implications and recommendations.</w:t>
            </w:r>
          </w:p>
        </w:tc>
        <w:tc>
          <w:tcPr>
            <w:tcW w:w="3408" w:type="dxa"/>
            <w:vAlign w:val="center"/>
          </w:tcPr>
          <w:p w14:paraId="1846FD2F">
            <w:pPr>
              <w:spacing w:after="0" w:line="240" w:lineRule="auto"/>
            </w:pPr>
            <w:r>
              <w:rPr>
                <w:sz w:val="16"/>
              </w:rPr>
              <w:t>Analytics report</w:t>
            </w:r>
          </w:p>
        </w:tc>
      </w:tr>
    </w:tbl>
    <w:p w14:paraId="2ED3E93D">
      <w:pPr>
        <w:spacing w:after="20"/>
      </w:pPr>
    </w:p>
    <w:p w14:paraId="42551B23">
      <w:pPr>
        <w:pStyle w:val="2"/>
      </w:pPr>
      <w:r>
        <w:t>6. KPI Development</w:t>
      </w:r>
    </w:p>
    <w:p w14:paraId="43BA5F45">
      <w:r>
        <w:t>I selected five KPIs from the candidates identified in Week 4. These KPIs were selected because they directly describe the scale of the attendance problem and provide operational measures that HealthConnect can monitor.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5"/>
        <w:gridCol w:w="2045"/>
        <w:gridCol w:w="2045"/>
        <w:gridCol w:w="2045"/>
        <w:gridCol w:w="2045"/>
      </w:tblGrid>
      <w:tr w14:paraId="7D6F9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shd w:val="clear" w:color="auto" w:fill="D9EAF7"/>
          </w:tcPr>
          <w:p w14:paraId="23446BA7">
            <w:pPr>
              <w:spacing w:after="0" w:line="240" w:lineRule="auto"/>
            </w:pPr>
            <w:r>
              <w:rPr>
                <w:b/>
                <w:sz w:val="15"/>
              </w:rPr>
              <w:t>KPI</w:t>
            </w:r>
          </w:p>
        </w:tc>
        <w:tc>
          <w:tcPr>
            <w:tcW w:w="2045" w:type="dxa"/>
            <w:shd w:val="clear" w:color="auto" w:fill="D9EAF7"/>
          </w:tcPr>
          <w:p w14:paraId="5C9EE194">
            <w:pPr>
              <w:spacing w:after="0" w:line="240" w:lineRule="auto"/>
            </w:pPr>
            <w:r>
              <w:rPr>
                <w:b/>
                <w:sz w:val="15"/>
              </w:rPr>
              <w:t>Definition</w:t>
            </w:r>
          </w:p>
        </w:tc>
        <w:tc>
          <w:tcPr>
            <w:tcW w:w="2045" w:type="dxa"/>
            <w:shd w:val="clear" w:color="auto" w:fill="D9EAF7"/>
          </w:tcPr>
          <w:p w14:paraId="40D8629F">
            <w:pPr>
              <w:spacing w:after="0" w:line="240" w:lineRule="auto"/>
            </w:pPr>
            <w:r>
              <w:rPr>
                <w:b/>
                <w:sz w:val="15"/>
              </w:rPr>
              <w:t>Result</w:t>
            </w:r>
          </w:p>
        </w:tc>
        <w:tc>
          <w:tcPr>
            <w:tcW w:w="2045" w:type="dxa"/>
            <w:shd w:val="clear" w:color="auto" w:fill="D9EAF7"/>
          </w:tcPr>
          <w:p w14:paraId="094B533A">
            <w:pPr>
              <w:spacing w:after="0" w:line="240" w:lineRule="auto"/>
            </w:pPr>
            <w:r>
              <w:rPr>
                <w:b/>
                <w:sz w:val="15"/>
              </w:rPr>
              <w:t>Why it matters</w:t>
            </w:r>
          </w:p>
        </w:tc>
        <w:tc>
          <w:tcPr>
            <w:tcW w:w="2045" w:type="dxa"/>
            <w:shd w:val="clear" w:color="auto" w:fill="D9EAF7"/>
          </w:tcPr>
          <w:p w14:paraId="30861AB3">
            <w:pPr>
              <w:spacing w:after="0" w:line="240" w:lineRule="auto"/>
            </w:pPr>
            <w:r>
              <w:rPr>
                <w:b/>
                <w:sz w:val="15"/>
              </w:rPr>
              <w:t>Interpretation</w:t>
            </w:r>
          </w:p>
        </w:tc>
      </w:tr>
      <w:tr w14:paraId="3EB71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117767EF">
            <w:pPr>
              <w:spacing w:after="0" w:line="240" w:lineRule="auto"/>
            </w:pPr>
            <w:r>
              <w:rPr>
                <w:sz w:val="15"/>
              </w:rPr>
              <w:t>No-Show Rate</w:t>
            </w:r>
          </w:p>
        </w:tc>
        <w:tc>
          <w:tcPr>
            <w:tcW w:w="2045" w:type="dxa"/>
            <w:vAlign w:val="center"/>
          </w:tcPr>
          <w:p w14:paraId="10E5DA4E">
            <w:pPr>
              <w:spacing w:after="0" w:line="240" w:lineRule="auto"/>
            </w:pPr>
            <w:r>
              <w:rPr>
                <w:sz w:val="15"/>
              </w:rPr>
              <w:t>Percentage of scheduled appointments that resulted in No-Show.</w:t>
            </w:r>
          </w:p>
        </w:tc>
        <w:tc>
          <w:tcPr>
            <w:tcW w:w="2045" w:type="dxa"/>
            <w:vAlign w:val="center"/>
          </w:tcPr>
          <w:p w14:paraId="22B9BEE4">
            <w:pPr>
              <w:spacing w:after="0" w:line="240" w:lineRule="auto"/>
            </w:pPr>
            <w:r>
              <w:rPr>
                <w:sz w:val="15"/>
              </w:rPr>
              <w:t>48.46%</w:t>
            </w:r>
          </w:p>
        </w:tc>
        <w:tc>
          <w:tcPr>
            <w:tcW w:w="2045" w:type="dxa"/>
            <w:vAlign w:val="center"/>
          </w:tcPr>
          <w:p w14:paraId="60214865">
            <w:pPr>
              <w:spacing w:after="0" w:line="240" w:lineRule="auto"/>
            </w:pPr>
            <w:r>
              <w:rPr>
                <w:sz w:val="15"/>
              </w:rPr>
              <w:t>Shows the scale of missed appointments.</w:t>
            </w:r>
          </w:p>
        </w:tc>
        <w:tc>
          <w:tcPr>
            <w:tcW w:w="2045" w:type="dxa"/>
            <w:vAlign w:val="center"/>
          </w:tcPr>
          <w:p w14:paraId="544B87F1">
            <w:pPr>
              <w:spacing w:after="0" w:line="240" w:lineRule="auto"/>
            </w:pPr>
            <w:r>
              <w:rPr>
                <w:sz w:val="15"/>
              </w:rPr>
              <w:t>High no-show level indicates a significant operational opportunity.</w:t>
            </w:r>
          </w:p>
        </w:tc>
      </w:tr>
      <w:tr w14:paraId="0A3F3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6DDAB991">
            <w:pPr>
              <w:spacing w:after="0" w:line="240" w:lineRule="auto"/>
            </w:pPr>
            <w:r>
              <w:rPr>
                <w:sz w:val="15"/>
              </w:rPr>
              <w:t>Attendance Rate</w:t>
            </w:r>
          </w:p>
        </w:tc>
        <w:tc>
          <w:tcPr>
            <w:tcW w:w="2045" w:type="dxa"/>
            <w:vAlign w:val="center"/>
          </w:tcPr>
          <w:p w14:paraId="72447F65">
            <w:pPr>
              <w:spacing w:after="0" w:line="240" w:lineRule="auto"/>
            </w:pPr>
            <w:r>
              <w:rPr>
                <w:sz w:val="15"/>
              </w:rPr>
              <w:t>Percentage of scheduled appointments that were attended.</w:t>
            </w:r>
          </w:p>
        </w:tc>
        <w:tc>
          <w:tcPr>
            <w:tcW w:w="2045" w:type="dxa"/>
            <w:vAlign w:val="center"/>
          </w:tcPr>
          <w:p w14:paraId="0DBD2432">
            <w:pPr>
              <w:spacing w:after="0" w:line="240" w:lineRule="auto"/>
            </w:pPr>
            <w:r>
              <w:rPr>
                <w:sz w:val="15"/>
              </w:rPr>
              <w:t>46.28%</w:t>
            </w:r>
          </w:p>
        </w:tc>
        <w:tc>
          <w:tcPr>
            <w:tcW w:w="2045" w:type="dxa"/>
            <w:vAlign w:val="center"/>
          </w:tcPr>
          <w:p w14:paraId="359ECF44">
            <w:pPr>
              <w:spacing w:after="0" w:line="240" w:lineRule="auto"/>
            </w:pPr>
            <w:r>
              <w:rPr>
                <w:sz w:val="15"/>
              </w:rPr>
              <w:t>Measures successful appointment utilisation.</w:t>
            </w:r>
          </w:p>
        </w:tc>
        <w:tc>
          <w:tcPr>
            <w:tcW w:w="2045" w:type="dxa"/>
            <w:vAlign w:val="center"/>
          </w:tcPr>
          <w:p w14:paraId="42E1314D">
            <w:pPr>
              <w:spacing w:after="0" w:line="240" w:lineRule="auto"/>
            </w:pPr>
            <w:r>
              <w:rPr>
                <w:sz w:val="15"/>
              </w:rPr>
              <w:t>Less than half of scheduled appointments were attended.</w:t>
            </w:r>
          </w:p>
        </w:tc>
      </w:tr>
      <w:tr w14:paraId="40670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7E195EF2">
            <w:pPr>
              <w:spacing w:after="0" w:line="240" w:lineRule="auto"/>
            </w:pPr>
            <w:r>
              <w:rPr>
                <w:sz w:val="15"/>
              </w:rPr>
              <w:t>Cancellation Rate</w:t>
            </w:r>
          </w:p>
        </w:tc>
        <w:tc>
          <w:tcPr>
            <w:tcW w:w="2045" w:type="dxa"/>
            <w:vAlign w:val="center"/>
          </w:tcPr>
          <w:p w14:paraId="1E5E2B98">
            <w:pPr>
              <w:spacing w:after="0" w:line="240" w:lineRule="auto"/>
            </w:pPr>
            <w:r>
              <w:rPr>
                <w:sz w:val="15"/>
              </w:rPr>
              <w:t>Percentage of scheduled appointments that were cancelled.</w:t>
            </w:r>
          </w:p>
        </w:tc>
        <w:tc>
          <w:tcPr>
            <w:tcW w:w="2045" w:type="dxa"/>
            <w:vAlign w:val="center"/>
          </w:tcPr>
          <w:p w14:paraId="080BBD98">
            <w:pPr>
              <w:spacing w:after="0" w:line="240" w:lineRule="auto"/>
            </w:pPr>
            <w:r>
              <w:rPr>
                <w:sz w:val="15"/>
              </w:rPr>
              <w:t>5.26%</w:t>
            </w:r>
          </w:p>
        </w:tc>
        <w:tc>
          <w:tcPr>
            <w:tcW w:w="2045" w:type="dxa"/>
            <w:vAlign w:val="center"/>
          </w:tcPr>
          <w:p w14:paraId="31F178D8">
            <w:pPr>
              <w:spacing w:after="0" w:line="240" w:lineRule="auto"/>
            </w:pPr>
            <w:r>
              <w:rPr>
                <w:sz w:val="15"/>
              </w:rPr>
              <w:t>Separates cancellations from missed appointments.</w:t>
            </w:r>
          </w:p>
        </w:tc>
        <w:tc>
          <w:tcPr>
            <w:tcW w:w="2045" w:type="dxa"/>
            <w:vAlign w:val="center"/>
          </w:tcPr>
          <w:p w14:paraId="6D7FA37E">
            <w:pPr>
              <w:spacing w:after="0" w:line="240" w:lineRule="auto"/>
            </w:pPr>
            <w:r>
              <w:rPr>
                <w:sz w:val="15"/>
              </w:rPr>
              <w:t>Cancellations are much smaller than no-shows.</w:t>
            </w:r>
          </w:p>
        </w:tc>
      </w:tr>
      <w:tr w14:paraId="2969A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7C2E6FCC">
            <w:pPr>
              <w:spacing w:after="0" w:line="240" w:lineRule="auto"/>
            </w:pPr>
            <w:r>
              <w:rPr>
                <w:sz w:val="15"/>
              </w:rPr>
              <w:t>Average Booking Lead Time</w:t>
            </w:r>
          </w:p>
        </w:tc>
        <w:tc>
          <w:tcPr>
            <w:tcW w:w="2045" w:type="dxa"/>
            <w:vAlign w:val="center"/>
          </w:tcPr>
          <w:p w14:paraId="1B34B01B">
            <w:pPr>
              <w:spacing w:after="0" w:line="240" w:lineRule="auto"/>
            </w:pPr>
            <w:r>
              <w:rPr>
                <w:sz w:val="15"/>
              </w:rPr>
              <w:t>Average number of days between booking and appointment.</w:t>
            </w:r>
          </w:p>
        </w:tc>
        <w:tc>
          <w:tcPr>
            <w:tcW w:w="2045" w:type="dxa"/>
            <w:vAlign w:val="center"/>
          </w:tcPr>
          <w:p w14:paraId="0ABCC303">
            <w:pPr>
              <w:spacing w:after="0" w:line="240" w:lineRule="auto"/>
            </w:pPr>
            <w:r>
              <w:rPr>
                <w:sz w:val="15"/>
              </w:rPr>
              <w:t>29.64 days</w:t>
            </w:r>
          </w:p>
        </w:tc>
        <w:tc>
          <w:tcPr>
            <w:tcW w:w="2045" w:type="dxa"/>
            <w:vAlign w:val="center"/>
          </w:tcPr>
          <w:p w14:paraId="6F99B36F">
            <w:pPr>
              <w:spacing w:after="0" w:line="240" w:lineRule="auto"/>
            </w:pPr>
            <w:r>
              <w:rPr>
                <w:sz w:val="15"/>
              </w:rPr>
              <w:t>Provides context for scheduling behaviour.</w:t>
            </w:r>
          </w:p>
        </w:tc>
        <w:tc>
          <w:tcPr>
            <w:tcW w:w="2045" w:type="dxa"/>
            <w:vAlign w:val="center"/>
          </w:tcPr>
          <w:p w14:paraId="571AB7E6">
            <w:pPr>
              <w:spacing w:after="0" w:line="240" w:lineRule="auto"/>
            </w:pPr>
            <w:r>
              <w:rPr>
                <w:sz w:val="15"/>
              </w:rPr>
              <w:t>Longer lead times were associated with higher no-show rates.</w:t>
            </w:r>
          </w:p>
        </w:tc>
      </w:tr>
      <w:tr w14:paraId="1E667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51A16400">
            <w:pPr>
              <w:spacing w:after="0" w:line="240" w:lineRule="auto"/>
            </w:pPr>
            <w:r>
              <w:rPr>
                <w:sz w:val="15"/>
              </w:rPr>
              <w:t>Reminder Effectiveness</w:t>
            </w:r>
          </w:p>
        </w:tc>
        <w:tc>
          <w:tcPr>
            <w:tcW w:w="2045" w:type="dxa"/>
            <w:vAlign w:val="center"/>
          </w:tcPr>
          <w:p w14:paraId="59E02209">
            <w:pPr>
              <w:spacing w:after="0" w:line="240" w:lineRule="auto"/>
            </w:pPr>
            <w:r>
              <w:rPr>
                <w:sz w:val="15"/>
              </w:rPr>
              <w:t>Attendance rate among appointments where a reminder was sent.</w:t>
            </w:r>
          </w:p>
        </w:tc>
        <w:tc>
          <w:tcPr>
            <w:tcW w:w="2045" w:type="dxa"/>
            <w:vAlign w:val="center"/>
          </w:tcPr>
          <w:p w14:paraId="09588960">
            <w:pPr>
              <w:spacing w:after="0" w:line="240" w:lineRule="auto"/>
            </w:pPr>
            <w:r>
              <w:rPr>
                <w:sz w:val="15"/>
              </w:rPr>
              <w:t>47.63%</w:t>
            </w:r>
          </w:p>
        </w:tc>
        <w:tc>
          <w:tcPr>
            <w:tcW w:w="2045" w:type="dxa"/>
            <w:vAlign w:val="center"/>
          </w:tcPr>
          <w:p w14:paraId="21743903">
            <w:pPr>
              <w:spacing w:after="0" w:line="240" w:lineRule="auto"/>
            </w:pPr>
            <w:r>
              <w:rPr>
                <w:sz w:val="15"/>
              </w:rPr>
              <w:t>Provides a monitoring measure for reminder-supported attendance.</w:t>
            </w:r>
          </w:p>
        </w:tc>
        <w:tc>
          <w:tcPr>
            <w:tcW w:w="2045" w:type="dxa"/>
            <w:vAlign w:val="center"/>
          </w:tcPr>
          <w:p w14:paraId="66B55D9B">
            <w:pPr>
              <w:spacing w:after="0" w:line="240" w:lineRule="auto"/>
            </w:pPr>
            <w:r>
              <w:rPr>
                <w:sz w:val="15"/>
              </w:rPr>
              <w:t>Higher observed attendance, but not proof of causation.</w:t>
            </w:r>
          </w:p>
        </w:tc>
      </w:tr>
    </w:tbl>
    <w:p w14:paraId="57EB8FFB">
      <w:pPr>
        <w:spacing w:after="20"/>
      </w:pPr>
    </w:p>
    <w:p w14:paraId="33EC099B">
      <w:pPr>
        <w:pStyle w:val="3"/>
      </w:pPr>
      <w:r>
        <w:t>6.1 DAX Measures Used</w:t>
      </w:r>
    </w:p>
    <w:p w14:paraId="78A85813">
      <w:pPr>
        <w:pStyle w:val="4"/>
      </w:pPr>
      <w:r>
        <w:t>No-Show Rate</w:t>
      </w:r>
    </w:p>
    <w:p w14:paraId="50BDE8F2">
      <w:r>
        <w:rPr>
          <w:rFonts w:ascii="Consolas" w:hAnsi="Consolas"/>
          <w:sz w:val="16"/>
        </w:rPr>
        <w:t>No-Show Rate =</w:t>
      </w:r>
      <w:r>
        <w:rPr>
          <w:rFonts w:ascii="Consolas" w:hAnsi="Consolas"/>
          <w:sz w:val="16"/>
        </w:rPr>
        <w:br w:type="textWrapping"/>
      </w:r>
      <w:r>
        <w:rPr>
          <w:rFonts w:ascii="Consolas" w:hAnsi="Consolas"/>
          <w:sz w:val="16"/>
        </w:rPr>
        <w:t>DIVIDE(</w:t>
      </w:r>
      <w:r>
        <w:rPr>
          <w:rFonts w:ascii="Consolas" w:hAnsi="Consolas"/>
          <w:sz w:val="16"/>
        </w:rPr>
        <w:br w:type="textWrapping"/>
      </w:r>
      <w:r>
        <w:rPr>
          <w:rFonts w:ascii="Consolas" w:hAnsi="Consolas"/>
          <w:sz w:val="16"/>
        </w:rPr>
        <w:t xml:space="preserve">    CALCULATE(</w:t>
      </w:r>
      <w:r>
        <w:rPr>
          <w:rFonts w:ascii="Consolas" w:hAnsi="Consolas"/>
          <w:sz w:val="16"/>
        </w:rPr>
        <w:br w:type="textWrapping"/>
      </w:r>
      <w:r>
        <w:rPr>
          <w:rFonts w:ascii="Consolas" w:hAnsi="Consolas"/>
          <w:sz w:val="16"/>
        </w:rPr>
        <w:t xml:space="preserve">        COUNTROWS('HealthConnect_Appointment_Data'),</w:t>
      </w:r>
      <w:r>
        <w:rPr>
          <w:rFonts w:ascii="Consolas" w:hAnsi="Consolas"/>
          <w:sz w:val="16"/>
        </w:rPr>
        <w:br w:type="textWrapping"/>
      </w:r>
      <w:r>
        <w:rPr>
          <w:rFonts w:ascii="Consolas" w:hAnsi="Consolas"/>
          <w:sz w:val="16"/>
        </w:rPr>
        <w:t xml:space="preserve">        'HealthConnect_Appointment_Data'[appointment_outcome] = "No-Show"</w:t>
      </w:r>
      <w:r>
        <w:rPr>
          <w:rFonts w:ascii="Consolas" w:hAnsi="Consolas"/>
          <w:sz w:val="16"/>
        </w:rPr>
        <w:br w:type="textWrapping"/>
      </w:r>
      <w:r>
        <w:rPr>
          <w:rFonts w:ascii="Consolas" w:hAnsi="Consolas"/>
          <w:sz w:val="16"/>
        </w:rPr>
        <w:t xml:space="preserve">    ),</w:t>
      </w:r>
      <w:r>
        <w:rPr>
          <w:rFonts w:ascii="Consolas" w:hAnsi="Consolas"/>
          <w:sz w:val="16"/>
        </w:rPr>
        <w:br w:type="textWrapping"/>
      </w:r>
      <w:r>
        <w:rPr>
          <w:rFonts w:ascii="Consolas" w:hAnsi="Consolas"/>
          <w:sz w:val="16"/>
        </w:rPr>
        <w:t xml:space="preserve">    COUNTROWS('HealthConnect_Appointment_Data')</w:t>
      </w:r>
      <w:r>
        <w:rPr>
          <w:rFonts w:ascii="Consolas" w:hAnsi="Consolas"/>
          <w:sz w:val="16"/>
        </w:rPr>
        <w:br w:type="textWrapping"/>
      </w:r>
      <w:r>
        <w:rPr>
          <w:rFonts w:ascii="Consolas" w:hAnsi="Consolas"/>
          <w:sz w:val="16"/>
        </w:rPr>
        <w:t>)</w:t>
      </w:r>
    </w:p>
    <w:p w14:paraId="1F168B20">
      <w:pPr>
        <w:pStyle w:val="4"/>
      </w:pPr>
      <w:r>
        <w:t>Attendance Rate</w:t>
      </w:r>
    </w:p>
    <w:p w14:paraId="4CB77D9C">
      <w:r>
        <w:rPr>
          <w:rFonts w:ascii="Consolas" w:hAnsi="Consolas"/>
          <w:sz w:val="16"/>
        </w:rPr>
        <w:t>Attendance Rate =</w:t>
      </w:r>
      <w:r>
        <w:rPr>
          <w:rFonts w:ascii="Consolas" w:hAnsi="Consolas"/>
          <w:sz w:val="16"/>
        </w:rPr>
        <w:br w:type="textWrapping"/>
      </w:r>
      <w:r>
        <w:rPr>
          <w:rFonts w:ascii="Consolas" w:hAnsi="Consolas"/>
          <w:sz w:val="16"/>
        </w:rPr>
        <w:t>DIVIDE(</w:t>
      </w:r>
      <w:r>
        <w:rPr>
          <w:rFonts w:ascii="Consolas" w:hAnsi="Consolas"/>
          <w:sz w:val="16"/>
        </w:rPr>
        <w:br w:type="textWrapping"/>
      </w:r>
      <w:r>
        <w:rPr>
          <w:rFonts w:ascii="Consolas" w:hAnsi="Consolas"/>
          <w:sz w:val="16"/>
        </w:rPr>
        <w:t xml:space="preserve">    CALCULATE(</w:t>
      </w:r>
      <w:r>
        <w:rPr>
          <w:rFonts w:ascii="Consolas" w:hAnsi="Consolas"/>
          <w:sz w:val="16"/>
        </w:rPr>
        <w:br w:type="textWrapping"/>
      </w:r>
      <w:r>
        <w:rPr>
          <w:rFonts w:ascii="Consolas" w:hAnsi="Consolas"/>
          <w:sz w:val="16"/>
        </w:rPr>
        <w:t xml:space="preserve">        COUNTROWS('HealthConnect_Appointment_Data'),</w:t>
      </w:r>
      <w:r>
        <w:rPr>
          <w:rFonts w:ascii="Consolas" w:hAnsi="Consolas"/>
          <w:sz w:val="16"/>
        </w:rPr>
        <w:br w:type="textWrapping"/>
      </w:r>
      <w:r>
        <w:rPr>
          <w:rFonts w:ascii="Consolas" w:hAnsi="Consolas"/>
          <w:sz w:val="16"/>
        </w:rPr>
        <w:t xml:space="preserve">        'HealthConnect_Appointment_Data'[appointment_outcome] = "Attended"</w:t>
      </w:r>
      <w:r>
        <w:rPr>
          <w:rFonts w:ascii="Consolas" w:hAnsi="Consolas"/>
          <w:sz w:val="16"/>
        </w:rPr>
        <w:br w:type="textWrapping"/>
      </w:r>
      <w:r>
        <w:rPr>
          <w:rFonts w:ascii="Consolas" w:hAnsi="Consolas"/>
          <w:sz w:val="16"/>
        </w:rPr>
        <w:t xml:space="preserve">    ),</w:t>
      </w:r>
      <w:r>
        <w:rPr>
          <w:rFonts w:ascii="Consolas" w:hAnsi="Consolas"/>
          <w:sz w:val="16"/>
        </w:rPr>
        <w:br w:type="textWrapping"/>
      </w:r>
      <w:r>
        <w:rPr>
          <w:rFonts w:ascii="Consolas" w:hAnsi="Consolas"/>
          <w:sz w:val="16"/>
        </w:rPr>
        <w:t xml:space="preserve">    COUNTROWS('HealthConnect_Appointment_Data')</w:t>
      </w:r>
      <w:r>
        <w:rPr>
          <w:rFonts w:ascii="Consolas" w:hAnsi="Consolas"/>
          <w:sz w:val="16"/>
        </w:rPr>
        <w:br w:type="textWrapping"/>
      </w:r>
      <w:r>
        <w:rPr>
          <w:rFonts w:ascii="Consolas" w:hAnsi="Consolas"/>
          <w:sz w:val="16"/>
        </w:rPr>
        <w:t>)</w:t>
      </w:r>
    </w:p>
    <w:p w14:paraId="4B7650D9">
      <w:pPr>
        <w:pStyle w:val="4"/>
      </w:pPr>
      <w:r>
        <w:t>Cancellation Rate</w:t>
      </w:r>
    </w:p>
    <w:p w14:paraId="0A7C42C0">
      <w:r>
        <w:rPr>
          <w:rFonts w:ascii="Consolas" w:hAnsi="Consolas"/>
          <w:sz w:val="16"/>
        </w:rPr>
        <w:t>Cancellation Rate =</w:t>
      </w:r>
      <w:r>
        <w:rPr>
          <w:rFonts w:ascii="Consolas" w:hAnsi="Consolas"/>
          <w:sz w:val="16"/>
        </w:rPr>
        <w:br w:type="textWrapping"/>
      </w:r>
      <w:r>
        <w:rPr>
          <w:rFonts w:ascii="Consolas" w:hAnsi="Consolas"/>
          <w:sz w:val="16"/>
        </w:rPr>
        <w:t>DIVIDE(</w:t>
      </w:r>
      <w:r>
        <w:rPr>
          <w:rFonts w:ascii="Consolas" w:hAnsi="Consolas"/>
          <w:sz w:val="16"/>
        </w:rPr>
        <w:br w:type="textWrapping"/>
      </w:r>
      <w:r>
        <w:rPr>
          <w:rFonts w:ascii="Consolas" w:hAnsi="Consolas"/>
          <w:sz w:val="16"/>
        </w:rPr>
        <w:t xml:space="preserve">    CALCULATE(</w:t>
      </w:r>
      <w:r>
        <w:rPr>
          <w:rFonts w:ascii="Consolas" w:hAnsi="Consolas"/>
          <w:sz w:val="16"/>
        </w:rPr>
        <w:br w:type="textWrapping"/>
      </w:r>
      <w:r>
        <w:rPr>
          <w:rFonts w:ascii="Consolas" w:hAnsi="Consolas"/>
          <w:sz w:val="16"/>
        </w:rPr>
        <w:t xml:space="preserve">        COUNTROWS('HealthConnect_Appointment_Data'),</w:t>
      </w:r>
      <w:r>
        <w:rPr>
          <w:rFonts w:ascii="Consolas" w:hAnsi="Consolas"/>
          <w:sz w:val="16"/>
        </w:rPr>
        <w:br w:type="textWrapping"/>
      </w:r>
      <w:r>
        <w:rPr>
          <w:rFonts w:ascii="Consolas" w:hAnsi="Consolas"/>
          <w:sz w:val="16"/>
        </w:rPr>
        <w:t xml:space="preserve">        'HealthConnect_Appointment_Data'[appointment_outcome] = "Cancelled"</w:t>
      </w:r>
      <w:r>
        <w:rPr>
          <w:rFonts w:ascii="Consolas" w:hAnsi="Consolas"/>
          <w:sz w:val="16"/>
        </w:rPr>
        <w:br w:type="textWrapping"/>
      </w:r>
      <w:r>
        <w:rPr>
          <w:rFonts w:ascii="Consolas" w:hAnsi="Consolas"/>
          <w:sz w:val="16"/>
        </w:rPr>
        <w:t xml:space="preserve">    ),</w:t>
      </w:r>
      <w:r>
        <w:rPr>
          <w:rFonts w:ascii="Consolas" w:hAnsi="Consolas"/>
          <w:sz w:val="16"/>
        </w:rPr>
        <w:br w:type="textWrapping"/>
      </w:r>
      <w:r>
        <w:rPr>
          <w:rFonts w:ascii="Consolas" w:hAnsi="Consolas"/>
          <w:sz w:val="16"/>
        </w:rPr>
        <w:t xml:space="preserve">    COUNTROWS('HealthConnect_Appointment_Data')</w:t>
      </w:r>
      <w:r>
        <w:rPr>
          <w:rFonts w:ascii="Consolas" w:hAnsi="Consolas"/>
          <w:sz w:val="16"/>
        </w:rPr>
        <w:br w:type="textWrapping"/>
      </w:r>
      <w:r>
        <w:rPr>
          <w:rFonts w:ascii="Consolas" w:hAnsi="Consolas"/>
          <w:sz w:val="16"/>
        </w:rPr>
        <w:t>)</w:t>
      </w:r>
    </w:p>
    <w:p w14:paraId="24668DAE">
      <w:pPr>
        <w:pStyle w:val="4"/>
      </w:pPr>
      <w:r>
        <w:t>Average Booking Lead Time</w:t>
      </w:r>
    </w:p>
    <w:p w14:paraId="1BC7EA47">
      <w:r>
        <w:rPr>
          <w:rFonts w:ascii="Consolas" w:hAnsi="Consolas"/>
          <w:sz w:val="16"/>
        </w:rPr>
        <w:t>Average Booking Lead Time =</w:t>
      </w:r>
      <w:r>
        <w:rPr>
          <w:rFonts w:ascii="Consolas" w:hAnsi="Consolas"/>
          <w:sz w:val="16"/>
        </w:rPr>
        <w:br w:type="textWrapping"/>
      </w:r>
      <w:r>
        <w:rPr>
          <w:rFonts w:ascii="Consolas" w:hAnsi="Consolas"/>
          <w:sz w:val="16"/>
        </w:rPr>
        <w:t>AVERAGE('HealthConnect_Appointment_Data'[booking_lead_days])</w:t>
      </w:r>
    </w:p>
    <w:p w14:paraId="52A2DC4E">
      <w:pPr>
        <w:pStyle w:val="4"/>
      </w:pPr>
      <w:r>
        <w:t>Reminder Effectiveness</w:t>
      </w:r>
    </w:p>
    <w:p w14:paraId="2431CAA1">
      <w:r>
        <w:rPr>
          <w:rFonts w:ascii="Consolas" w:hAnsi="Consolas"/>
          <w:sz w:val="16"/>
        </w:rPr>
        <w:t>Reminder Effectiveness =</w:t>
      </w:r>
      <w:r>
        <w:rPr>
          <w:rFonts w:ascii="Consolas" w:hAnsi="Consolas"/>
          <w:sz w:val="16"/>
        </w:rPr>
        <w:br w:type="textWrapping"/>
      </w:r>
      <w:r>
        <w:rPr>
          <w:rFonts w:ascii="Consolas" w:hAnsi="Consolas"/>
          <w:sz w:val="16"/>
        </w:rPr>
        <w:t>DIVIDE(</w:t>
      </w:r>
      <w:r>
        <w:rPr>
          <w:rFonts w:ascii="Consolas" w:hAnsi="Consolas"/>
          <w:sz w:val="16"/>
        </w:rPr>
        <w:br w:type="textWrapping"/>
      </w:r>
      <w:r>
        <w:rPr>
          <w:rFonts w:ascii="Consolas" w:hAnsi="Consolas"/>
          <w:sz w:val="16"/>
        </w:rPr>
        <w:t xml:space="preserve">    CALCULATE(</w:t>
      </w:r>
      <w:r>
        <w:rPr>
          <w:rFonts w:ascii="Consolas" w:hAnsi="Consolas"/>
          <w:sz w:val="16"/>
        </w:rPr>
        <w:br w:type="textWrapping"/>
      </w:r>
      <w:r>
        <w:rPr>
          <w:rFonts w:ascii="Consolas" w:hAnsi="Consolas"/>
          <w:sz w:val="16"/>
        </w:rPr>
        <w:t xml:space="preserve">        COUNTROWS('HealthConnect_Appointment_Data'),</w:t>
      </w:r>
      <w:r>
        <w:rPr>
          <w:rFonts w:ascii="Consolas" w:hAnsi="Consolas"/>
          <w:sz w:val="16"/>
        </w:rPr>
        <w:br w:type="textWrapping"/>
      </w:r>
      <w:r>
        <w:rPr>
          <w:rFonts w:ascii="Consolas" w:hAnsi="Consolas"/>
          <w:sz w:val="16"/>
        </w:rPr>
        <w:t xml:space="preserve">        'HealthConnect_Appointment_Data'[reminder_sent] = "Yes",</w:t>
      </w:r>
      <w:r>
        <w:rPr>
          <w:rFonts w:ascii="Consolas" w:hAnsi="Consolas"/>
          <w:sz w:val="16"/>
        </w:rPr>
        <w:br w:type="textWrapping"/>
      </w:r>
      <w:r>
        <w:rPr>
          <w:rFonts w:ascii="Consolas" w:hAnsi="Consolas"/>
          <w:sz w:val="16"/>
        </w:rPr>
        <w:t xml:space="preserve">        'HealthConnect_Appointment_Data'[appointment_outcome] = "Attended"</w:t>
      </w:r>
      <w:r>
        <w:rPr>
          <w:rFonts w:ascii="Consolas" w:hAnsi="Consolas"/>
          <w:sz w:val="16"/>
        </w:rPr>
        <w:br w:type="textWrapping"/>
      </w:r>
      <w:r>
        <w:rPr>
          <w:rFonts w:ascii="Consolas" w:hAnsi="Consolas"/>
          <w:sz w:val="16"/>
        </w:rPr>
        <w:t xml:space="preserve">    ),</w:t>
      </w:r>
      <w:r>
        <w:rPr>
          <w:rFonts w:ascii="Consolas" w:hAnsi="Consolas"/>
          <w:sz w:val="16"/>
        </w:rPr>
        <w:br w:type="textWrapping"/>
      </w:r>
      <w:r>
        <w:rPr>
          <w:rFonts w:ascii="Consolas" w:hAnsi="Consolas"/>
          <w:sz w:val="16"/>
        </w:rPr>
        <w:t xml:space="preserve">    CALCULATE(</w:t>
      </w:r>
      <w:r>
        <w:rPr>
          <w:rFonts w:ascii="Consolas" w:hAnsi="Consolas"/>
          <w:sz w:val="16"/>
        </w:rPr>
        <w:br w:type="textWrapping"/>
      </w:r>
      <w:r>
        <w:rPr>
          <w:rFonts w:ascii="Consolas" w:hAnsi="Consolas"/>
          <w:sz w:val="16"/>
        </w:rPr>
        <w:t xml:space="preserve">        COUNTROWS('HealthConnect_Appointment_Data'),</w:t>
      </w:r>
      <w:r>
        <w:rPr>
          <w:rFonts w:ascii="Consolas" w:hAnsi="Consolas"/>
          <w:sz w:val="16"/>
        </w:rPr>
        <w:br w:type="textWrapping"/>
      </w:r>
      <w:r>
        <w:rPr>
          <w:rFonts w:ascii="Consolas" w:hAnsi="Consolas"/>
          <w:sz w:val="16"/>
        </w:rPr>
        <w:t xml:space="preserve">        'HealthConnect_Appointment_Data'[reminder_sent] = "Yes"</w:t>
      </w:r>
      <w:r>
        <w:rPr>
          <w:rFonts w:ascii="Consolas" w:hAnsi="Consolas"/>
          <w:sz w:val="16"/>
        </w:rPr>
        <w:br w:type="textWrapping"/>
      </w:r>
      <w:r>
        <w:rPr>
          <w:rFonts w:ascii="Consolas" w:hAnsi="Consolas"/>
          <w:sz w:val="16"/>
        </w:rPr>
        <w:t xml:space="preserve">    )</w:t>
      </w:r>
      <w:r>
        <w:rPr>
          <w:rFonts w:ascii="Consolas" w:hAnsi="Consolas"/>
          <w:sz w:val="16"/>
        </w:rPr>
        <w:br w:type="textWrapping"/>
      </w:r>
      <w:r>
        <w:rPr>
          <w:rFonts w:ascii="Consolas" w:hAnsi="Consolas"/>
          <w:sz w:val="16"/>
        </w:rPr>
        <w:t>)</w:t>
      </w:r>
    </w:p>
    <w:p w14:paraId="5353A0D0">
      <w:pPr>
        <w:pStyle w:val="2"/>
      </w:pPr>
      <w:r>
        <w:t>7. Exploratory Data Analysis</w:t>
      </w:r>
    </w:p>
    <w:p w14:paraId="1663009A">
      <w:r>
        <w:t>The EDA focused on appointment characteristics, patient characteristics, previous appointment history, reminders, waiting time, distance, cancellations and no-show outcomes.</w:t>
      </w:r>
    </w:p>
    <w:p w14:paraId="09B3BC91">
      <w:pPr>
        <w:pStyle w:val="3"/>
      </w:pPr>
      <w:r>
        <w:t>7.1 Appointment Outcome Distribution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670ED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tcPr>
          <w:p w14:paraId="62827B62">
            <w:pPr>
              <w:spacing w:after="0" w:line="240" w:lineRule="auto"/>
            </w:pPr>
            <w:r>
              <w:rPr>
                <w:b/>
                <w:sz w:val="17"/>
              </w:rPr>
              <w:t>Outcome</w:t>
            </w:r>
          </w:p>
        </w:tc>
        <w:tc>
          <w:tcPr>
            <w:tcW w:w="3408" w:type="dxa"/>
            <w:shd w:val="clear" w:color="auto" w:fill="D9EAF7"/>
          </w:tcPr>
          <w:p w14:paraId="725D0F1D">
            <w:pPr>
              <w:spacing w:after="0" w:line="240" w:lineRule="auto"/>
            </w:pPr>
            <w:r>
              <w:rPr>
                <w:b/>
                <w:sz w:val="17"/>
              </w:rPr>
              <w:t>Count</w:t>
            </w:r>
          </w:p>
        </w:tc>
        <w:tc>
          <w:tcPr>
            <w:tcW w:w="3408" w:type="dxa"/>
            <w:shd w:val="clear" w:color="auto" w:fill="D9EAF7"/>
          </w:tcPr>
          <w:p w14:paraId="38DDFCC5">
            <w:pPr>
              <w:spacing w:after="0" w:line="240" w:lineRule="auto"/>
            </w:pPr>
            <w:r>
              <w:rPr>
                <w:b/>
                <w:sz w:val="17"/>
              </w:rPr>
              <w:t>Share</w:t>
            </w:r>
          </w:p>
        </w:tc>
      </w:tr>
      <w:tr w14:paraId="0AB25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1C26B42">
            <w:pPr>
              <w:spacing w:after="0" w:line="240" w:lineRule="auto"/>
            </w:pPr>
            <w:r>
              <w:rPr>
                <w:sz w:val="17"/>
              </w:rPr>
              <w:t>No-Show</w:t>
            </w:r>
          </w:p>
        </w:tc>
        <w:tc>
          <w:tcPr>
            <w:tcW w:w="3408" w:type="dxa"/>
            <w:vAlign w:val="center"/>
          </w:tcPr>
          <w:p w14:paraId="647B23E3">
            <w:pPr>
              <w:spacing w:after="0" w:line="240" w:lineRule="auto"/>
            </w:pPr>
            <w:r>
              <w:rPr>
                <w:sz w:val="17"/>
              </w:rPr>
              <w:t>2,423</w:t>
            </w:r>
          </w:p>
        </w:tc>
        <w:tc>
          <w:tcPr>
            <w:tcW w:w="3408" w:type="dxa"/>
            <w:vAlign w:val="center"/>
          </w:tcPr>
          <w:p w14:paraId="56082579">
            <w:pPr>
              <w:spacing w:after="0" w:line="240" w:lineRule="auto"/>
            </w:pPr>
            <w:r>
              <w:rPr>
                <w:sz w:val="17"/>
              </w:rPr>
              <w:t>48.46%</w:t>
            </w:r>
          </w:p>
        </w:tc>
      </w:tr>
      <w:tr w14:paraId="6BAD0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BFF4866">
            <w:pPr>
              <w:spacing w:after="0" w:line="240" w:lineRule="auto"/>
            </w:pPr>
            <w:r>
              <w:rPr>
                <w:sz w:val="17"/>
              </w:rPr>
              <w:t>Attended</w:t>
            </w:r>
          </w:p>
        </w:tc>
        <w:tc>
          <w:tcPr>
            <w:tcW w:w="3408" w:type="dxa"/>
            <w:vAlign w:val="center"/>
          </w:tcPr>
          <w:p w14:paraId="2ECA6EF7">
            <w:pPr>
              <w:spacing w:after="0" w:line="240" w:lineRule="auto"/>
            </w:pPr>
            <w:r>
              <w:rPr>
                <w:sz w:val="17"/>
              </w:rPr>
              <w:t>2,314</w:t>
            </w:r>
          </w:p>
        </w:tc>
        <w:tc>
          <w:tcPr>
            <w:tcW w:w="3408" w:type="dxa"/>
            <w:vAlign w:val="center"/>
          </w:tcPr>
          <w:p w14:paraId="44A1CDFD">
            <w:pPr>
              <w:spacing w:after="0" w:line="240" w:lineRule="auto"/>
            </w:pPr>
            <w:r>
              <w:rPr>
                <w:sz w:val="17"/>
              </w:rPr>
              <w:t>46.28%</w:t>
            </w:r>
          </w:p>
        </w:tc>
      </w:tr>
      <w:tr w14:paraId="1E120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08" w:type="dxa"/>
            <w:vAlign w:val="center"/>
          </w:tcPr>
          <w:p w14:paraId="7A821918">
            <w:pPr>
              <w:spacing w:after="0" w:line="240" w:lineRule="auto"/>
            </w:pPr>
            <w:r>
              <w:rPr>
                <w:sz w:val="17"/>
              </w:rPr>
              <w:t>Cancelled</w:t>
            </w:r>
          </w:p>
        </w:tc>
        <w:tc>
          <w:tcPr>
            <w:tcW w:w="3408" w:type="dxa"/>
            <w:vAlign w:val="center"/>
          </w:tcPr>
          <w:p w14:paraId="2F76C9EA">
            <w:pPr>
              <w:spacing w:after="0" w:line="240" w:lineRule="auto"/>
            </w:pPr>
            <w:r>
              <w:rPr>
                <w:sz w:val="17"/>
              </w:rPr>
              <w:t>263</w:t>
            </w:r>
          </w:p>
        </w:tc>
        <w:tc>
          <w:tcPr>
            <w:tcW w:w="3408" w:type="dxa"/>
            <w:vAlign w:val="center"/>
          </w:tcPr>
          <w:p w14:paraId="79C5B002">
            <w:pPr>
              <w:spacing w:after="0" w:line="240" w:lineRule="auto"/>
            </w:pPr>
            <w:r>
              <w:rPr>
                <w:sz w:val="17"/>
              </w:rPr>
              <w:t>5.26%</w:t>
            </w:r>
          </w:p>
        </w:tc>
      </w:tr>
      <w:tr w14:paraId="01B88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2FB1D17">
            <w:pPr>
              <w:spacing w:after="0" w:line="240" w:lineRule="auto"/>
            </w:pPr>
            <w:r>
              <w:rPr>
                <w:sz w:val="17"/>
              </w:rPr>
              <w:t>Total</w:t>
            </w:r>
          </w:p>
        </w:tc>
        <w:tc>
          <w:tcPr>
            <w:tcW w:w="3408" w:type="dxa"/>
            <w:vAlign w:val="center"/>
          </w:tcPr>
          <w:p w14:paraId="663E0A88">
            <w:pPr>
              <w:spacing w:after="0" w:line="240" w:lineRule="auto"/>
            </w:pPr>
            <w:r>
              <w:rPr>
                <w:sz w:val="17"/>
              </w:rPr>
              <w:t>5,000</w:t>
            </w:r>
          </w:p>
        </w:tc>
        <w:tc>
          <w:tcPr>
            <w:tcW w:w="3408" w:type="dxa"/>
            <w:vAlign w:val="center"/>
          </w:tcPr>
          <w:p w14:paraId="1F64398C">
            <w:pPr>
              <w:spacing w:after="0" w:line="240" w:lineRule="auto"/>
            </w:pPr>
            <w:r>
              <w:rPr>
                <w:sz w:val="17"/>
              </w:rPr>
              <w:t>100.00%</w:t>
            </w:r>
          </w:p>
        </w:tc>
      </w:tr>
    </w:tbl>
    <w:p w14:paraId="3317372C">
      <w:pPr>
        <w:spacing w:after="20"/>
      </w:pPr>
    </w:p>
    <w:p w14:paraId="28587547">
      <w:r>
        <w:t>No-Show was the largest outcome category, with 2,423 appointments. The no-show rate was slightly higher than the attendance rate, showing that missed appointments are a major operational issue in the dataset.</w:t>
      </w:r>
    </w:p>
    <w:p w14:paraId="3EB547A6">
      <w:pPr>
        <w:pStyle w:val="3"/>
      </w:pPr>
      <w:r>
        <w:t>7.2 Reminder Sent vs Appointment Outcome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4"/>
        <w:gridCol w:w="1704"/>
        <w:gridCol w:w="1704"/>
      </w:tblGrid>
      <w:tr w14:paraId="7FD1E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shd w:val="clear" w:color="auto" w:fill="D9EAF7"/>
          </w:tcPr>
          <w:p w14:paraId="6074552A">
            <w:pPr>
              <w:spacing w:after="0" w:line="240" w:lineRule="auto"/>
            </w:pPr>
            <w:r>
              <w:rPr>
                <w:b/>
                <w:sz w:val="16"/>
              </w:rPr>
              <w:t>Reminder Sent</w:t>
            </w:r>
          </w:p>
        </w:tc>
        <w:tc>
          <w:tcPr>
            <w:tcW w:w="1704" w:type="dxa"/>
            <w:shd w:val="clear" w:color="auto" w:fill="D9EAF7"/>
          </w:tcPr>
          <w:p w14:paraId="7C00F59F">
            <w:pPr>
              <w:spacing w:after="0" w:line="240" w:lineRule="auto"/>
            </w:pPr>
            <w:r>
              <w:rPr>
                <w:b/>
                <w:sz w:val="16"/>
              </w:rPr>
              <w:t>Attended</w:t>
            </w:r>
          </w:p>
        </w:tc>
        <w:tc>
          <w:tcPr>
            <w:tcW w:w="1704" w:type="dxa"/>
            <w:shd w:val="clear" w:color="auto" w:fill="D9EAF7"/>
          </w:tcPr>
          <w:p w14:paraId="197FC06D">
            <w:pPr>
              <w:spacing w:after="0" w:line="240" w:lineRule="auto"/>
            </w:pPr>
            <w:r>
              <w:rPr>
                <w:b/>
                <w:sz w:val="16"/>
              </w:rPr>
              <w:t>No-Show</w:t>
            </w:r>
          </w:p>
        </w:tc>
        <w:tc>
          <w:tcPr>
            <w:tcW w:w="1704" w:type="dxa"/>
            <w:shd w:val="clear" w:color="auto" w:fill="D9EAF7"/>
          </w:tcPr>
          <w:p w14:paraId="1B7F5849">
            <w:pPr>
              <w:spacing w:after="0" w:line="240" w:lineRule="auto"/>
            </w:pPr>
            <w:r>
              <w:rPr>
                <w:b/>
                <w:sz w:val="16"/>
              </w:rPr>
              <w:t>Cancelled</w:t>
            </w:r>
          </w:p>
        </w:tc>
        <w:tc>
          <w:tcPr>
            <w:tcW w:w="1704" w:type="dxa"/>
            <w:shd w:val="clear" w:color="auto" w:fill="D9EAF7"/>
          </w:tcPr>
          <w:p w14:paraId="4875A660">
            <w:pPr>
              <w:spacing w:after="0" w:line="240" w:lineRule="auto"/>
            </w:pPr>
            <w:r>
              <w:rPr>
                <w:b/>
                <w:sz w:val="16"/>
              </w:rPr>
              <w:t>Attendance Rate</w:t>
            </w:r>
          </w:p>
        </w:tc>
        <w:tc>
          <w:tcPr>
            <w:tcW w:w="1704" w:type="dxa"/>
            <w:shd w:val="clear" w:color="auto" w:fill="D9EAF7"/>
          </w:tcPr>
          <w:p w14:paraId="6036A642">
            <w:pPr>
              <w:spacing w:after="0" w:line="240" w:lineRule="auto"/>
            </w:pPr>
            <w:r>
              <w:rPr>
                <w:b/>
                <w:sz w:val="16"/>
              </w:rPr>
              <w:t>No-Show Rate</w:t>
            </w:r>
          </w:p>
        </w:tc>
      </w:tr>
      <w:tr w14:paraId="1B2AF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3E9C97AC">
            <w:pPr>
              <w:spacing w:after="0" w:line="240" w:lineRule="auto"/>
            </w:pPr>
            <w:r>
              <w:rPr>
                <w:sz w:val="16"/>
              </w:rPr>
              <w:t>Yes</w:t>
            </w:r>
          </w:p>
        </w:tc>
        <w:tc>
          <w:tcPr>
            <w:tcW w:w="1704" w:type="dxa"/>
            <w:vAlign w:val="center"/>
          </w:tcPr>
          <w:p w14:paraId="4F12834B">
            <w:pPr>
              <w:spacing w:after="0" w:line="240" w:lineRule="auto"/>
            </w:pPr>
            <w:r>
              <w:rPr>
                <w:sz w:val="16"/>
              </w:rPr>
              <w:t>1,731</w:t>
            </w:r>
          </w:p>
        </w:tc>
        <w:tc>
          <w:tcPr>
            <w:tcW w:w="1704" w:type="dxa"/>
            <w:vAlign w:val="center"/>
          </w:tcPr>
          <w:p w14:paraId="53AE6766">
            <w:pPr>
              <w:spacing w:after="0" w:line="240" w:lineRule="auto"/>
            </w:pPr>
            <w:r>
              <w:rPr>
                <w:sz w:val="16"/>
              </w:rPr>
              <w:t>1,721</w:t>
            </w:r>
          </w:p>
        </w:tc>
        <w:tc>
          <w:tcPr>
            <w:tcW w:w="1704" w:type="dxa"/>
            <w:vAlign w:val="center"/>
          </w:tcPr>
          <w:p w14:paraId="62C2C0F2">
            <w:pPr>
              <w:spacing w:after="0" w:line="240" w:lineRule="auto"/>
            </w:pPr>
            <w:r>
              <w:rPr>
                <w:sz w:val="16"/>
              </w:rPr>
              <w:t>182</w:t>
            </w:r>
          </w:p>
        </w:tc>
        <w:tc>
          <w:tcPr>
            <w:tcW w:w="1704" w:type="dxa"/>
            <w:vAlign w:val="center"/>
          </w:tcPr>
          <w:p w14:paraId="5EFECADD">
            <w:pPr>
              <w:spacing w:after="0" w:line="240" w:lineRule="auto"/>
            </w:pPr>
            <w:r>
              <w:rPr>
                <w:sz w:val="16"/>
              </w:rPr>
              <w:t>47.63%</w:t>
            </w:r>
          </w:p>
        </w:tc>
        <w:tc>
          <w:tcPr>
            <w:tcW w:w="1704" w:type="dxa"/>
            <w:vAlign w:val="center"/>
          </w:tcPr>
          <w:p w14:paraId="5460E970">
            <w:pPr>
              <w:spacing w:after="0" w:line="240" w:lineRule="auto"/>
            </w:pPr>
            <w:r>
              <w:rPr>
                <w:sz w:val="16"/>
              </w:rPr>
              <w:t>47.33%</w:t>
            </w:r>
          </w:p>
        </w:tc>
      </w:tr>
      <w:tr w14:paraId="251D7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51B30555">
            <w:pPr>
              <w:spacing w:after="0" w:line="240" w:lineRule="auto"/>
            </w:pPr>
            <w:r>
              <w:rPr>
                <w:sz w:val="16"/>
              </w:rPr>
              <w:t>No</w:t>
            </w:r>
          </w:p>
        </w:tc>
        <w:tc>
          <w:tcPr>
            <w:tcW w:w="1704" w:type="dxa"/>
            <w:vAlign w:val="center"/>
          </w:tcPr>
          <w:p w14:paraId="47214EDC">
            <w:pPr>
              <w:spacing w:after="0" w:line="240" w:lineRule="auto"/>
            </w:pPr>
            <w:r>
              <w:rPr>
                <w:sz w:val="16"/>
              </w:rPr>
              <w:t>583</w:t>
            </w:r>
          </w:p>
        </w:tc>
        <w:tc>
          <w:tcPr>
            <w:tcW w:w="1704" w:type="dxa"/>
            <w:vAlign w:val="center"/>
          </w:tcPr>
          <w:p w14:paraId="7C6E5ACA">
            <w:pPr>
              <w:spacing w:after="0" w:line="240" w:lineRule="auto"/>
            </w:pPr>
            <w:r>
              <w:rPr>
                <w:sz w:val="16"/>
              </w:rPr>
              <w:t>702</w:t>
            </w:r>
          </w:p>
        </w:tc>
        <w:tc>
          <w:tcPr>
            <w:tcW w:w="1704" w:type="dxa"/>
            <w:vAlign w:val="center"/>
          </w:tcPr>
          <w:p w14:paraId="4F3314F3">
            <w:pPr>
              <w:spacing w:after="0" w:line="240" w:lineRule="auto"/>
            </w:pPr>
            <w:r>
              <w:rPr>
                <w:sz w:val="16"/>
              </w:rPr>
              <w:t>81</w:t>
            </w:r>
          </w:p>
        </w:tc>
        <w:tc>
          <w:tcPr>
            <w:tcW w:w="1704" w:type="dxa"/>
            <w:vAlign w:val="center"/>
          </w:tcPr>
          <w:p w14:paraId="055F2144">
            <w:pPr>
              <w:spacing w:after="0" w:line="240" w:lineRule="auto"/>
            </w:pPr>
            <w:r>
              <w:rPr>
                <w:sz w:val="16"/>
              </w:rPr>
              <w:t>42.68%</w:t>
            </w:r>
          </w:p>
        </w:tc>
        <w:tc>
          <w:tcPr>
            <w:tcW w:w="1704" w:type="dxa"/>
            <w:vAlign w:val="center"/>
          </w:tcPr>
          <w:p w14:paraId="69CF41A0">
            <w:pPr>
              <w:spacing w:after="0" w:line="240" w:lineRule="auto"/>
            </w:pPr>
            <w:r>
              <w:rPr>
                <w:sz w:val="16"/>
              </w:rPr>
              <w:t>51.39%</w:t>
            </w:r>
          </w:p>
        </w:tc>
      </w:tr>
    </w:tbl>
    <w:p w14:paraId="661B3FA3">
      <w:pPr>
        <w:spacing w:after="20"/>
      </w:pPr>
    </w:p>
    <w:p w14:paraId="58BF9B63">
      <w:r>
        <w:t>Appointments where reminders were sent had an observed attendance rate of 47.63%, compared with 42.68% for appointments without a reminder. This is approximately a 4.95 percentage-point difference. The corresponding no-show rates were approximately 47.33% and 51.39%. This is an association, not proof that reminders caused the difference.</w:t>
      </w:r>
    </w:p>
    <w:p w14:paraId="41D80D39">
      <w:pPr>
        <w:pStyle w:val="3"/>
      </w:pPr>
      <w:r>
        <w:t>7.3 Booking Lead Time and No-Show Rate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5CFA3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tcPr>
          <w:p w14:paraId="52F4F9E1">
            <w:pPr>
              <w:spacing w:after="0" w:line="240" w:lineRule="auto"/>
            </w:pPr>
            <w:r>
              <w:rPr>
                <w:b/>
                <w:sz w:val="17"/>
              </w:rPr>
              <w:t>Booking Lead Group</w:t>
            </w:r>
          </w:p>
        </w:tc>
        <w:tc>
          <w:tcPr>
            <w:tcW w:w="5112" w:type="dxa"/>
            <w:shd w:val="clear" w:color="auto" w:fill="D9EAF7"/>
          </w:tcPr>
          <w:p w14:paraId="40F01EFC">
            <w:pPr>
              <w:spacing w:after="0" w:line="240" w:lineRule="auto"/>
            </w:pPr>
            <w:r>
              <w:rPr>
                <w:b/>
                <w:sz w:val="17"/>
              </w:rPr>
              <w:t>No-Show Rate</w:t>
            </w:r>
          </w:p>
        </w:tc>
      </w:tr>
      <w:tr w14:paraId="13610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79E7C52">
            <w:pPr>
              <w:spacing w:after="0" w:line="240" w:lineRule="auto"/>
            </w:pPr>
            <w:r>
              <w:rPr>
                <w:sz w:val="17"/>
              </w:rPr>
              <w:t>0–7 days</w:t>
            </w:r>
          </w:p>
        </w:tc>
        <w:tc>
          <w:tcPr>
            <w:tcW w:w="5112" w:type="dxa"/>
            <w:vAlign w:val="center"/>
          </w:tcPr>
          <w:p w14:paraId="1A6FFA4F">
            <w:pPr>
              <w:spacing w:after="0" w:line="240" w:lineRule="auto"/>
            </w:pPr>
            <w:r>
              <w:rPr>
                <w:sz w:val="17"/>
              </w:rPr>
              <w:t>27.81%</w:t>
            </w:r>
          </w:p>
        </w:tc>
      </w:tr>
      <w:tr w14:paraId="7EE29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265B694">
            <w:pPr>
              <w:spacing w:after="0" w:line="240" w:lineRule="auto"/>
            </w:pPr>
            <w:r>
              <w:rPr>
                <w:sz w:val="17"/>
              </w:rPr>
              <w:t>8–14 days</w:t>
            </w:r>
          </w:p>
        </w:tc>
        <w:tc>
          <w:tcPr>
            <w:tcW w:w="5112" w:type="dxa"/>
            <w:vAlign w:val="center"/>
          </w:tcPr>
          <w:p w14:paraId="60CF2B82">
            <w:pPr>
              <w:spacing w:after="0" w:line="240" w:lineRule="auto"/>
            </w:pPr>
            <w:r>
              <w:rPr>
                <w:sz w:val="17"/>
              </w:rPr>
              <w:t>33.55%</w:t>
            </w:r>
          </w:p>
        </w:tc>
      </w:tr>
      <w:tr w14:paraId="728C5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0E2E2CA">
            <w:pPr>
              <w:spacing w:after="0" w:line="240" w:lineRule="auto"/>
            </w:pPr>
            <w:r>
              <w:rPr>
                <w:sz w:val="17"/>
              </w:rPr>
              <w:t>15–30 days</w:t>
            </w:r>
          </w:p>
        </w:tc>
        <w:tc>
          <w:tcPr>
            <w:tcW w:w="5112" w:type="dxa"/>
            <w:vAlign w:val="center"/>
          </w:tcPr>
          <w:p w14:paraId="00616304">
            <w:pPr>
              <w:spacing w:after="0" w:line="240" w:lineRule="auto"/>
            </w:pPr>
            <w:r>
              <w:rPr>
                <w:sz w:val="17"/>
              </w:rPr>
              <w:t>43.21%</w:t>
            </w:r>
          </w:p>
        </w:tc>
      </w:tr>
      <w:tr w14:paraId="2C231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112" w:type="dxa"/>
            <w:vAlign w:val="center"/>
          </w:tcPr>
          <w:p w14:paraId="3F392E90">
            <w:pPr>
              <w:spacing w:after="0" w:line="240" w:lineRule="auto"/>
            </w:pPr>
            <w:r>
              <w:rPr>
                <w:sz w:val="17"/>
              </w:rPr>
              <w:t>31–45 days</w:t>
            </w:r>
          </w:p>
        </w:tc>
        <w:tc>
          <w:tcPr>
            <w:tcW w:w="5112" w:type="dxa"/>
            <w:vAlign w:val="center"/>
          </w:tcPr>
          <w:p w14:paraId="5E925666">
            <w:pPr>
              <w:spacing w:after="0" w:line="240" w:lineRule="auto"/>
            </w:pPr>
            <w:r>
              <w:rPr>
                <w:sz w:val="17"/>
              </w:rPr>
              <w:t>53.82%</w:t>
            </w:r>
          </w:p>
        </w:tc>
      </w:tr>
      <w:tr w14:paraId="56853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BBEBB6A">
            <w:pPr>
              <w:spacing w:after="0" w:line="240" w:lineRule="auto"/>
            </w:pPr>
            <w:r>
              <w:rPr>
                <w:sz w:val="17"/>
              </w:rPr>
              <w:t>46–60 days</w:t>
            </w:r>
          </w:p>
        </w:tc>
        <w:tc>
          <w:tcPr>
            <w:tcW w:w="5112" w:type="dxa"/>
            <w:vAlign w:val="center"/>
          </w:tcPr>
          <w:p w14:paraId="0C793C3A">
            <w:pPr>
              <w:spacing w:after="0" w:line="240" w:lineRule="auto"/>
            </w:pPr>
            <w:r>
              <w:rPr>
                <w:sz w:val="17"/>
              </w:rPr>
              <w:t>67.69%</w:t>
            </w:r>
          </w:p>
        </w:tc>
      </w:tr>
    </w:tbl>
    <w:p w14:paraId="42DD616D">
      <w:pPr>
        <w:spacing w:after="20"/>
      </w:pPr>
    </w:p>
    <w:p w14:paraId="7B05F787">
      <w:r>
        <w:t>A strong upward pattern was observed. No-show rate increased from 27.81% for appointments booked 0–7 days before the appointment to 67.69% for appointments booked 46–60 days in advance. This is a 39.88 percentage-point difference.</w:t>
      </w:r>
    </w:p>
    <w:p w14:paraId="79D7BA4D">
      <w:pPr>
        <w:pStyle w:val="3"/>
      </w:pPr>
      <w:r>
        <w:t>7.4 Previous No-Shows and Future No-Show Rate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6A48B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tcPr>
          <w:p w14:paraId="38A4D2E1">
            <w:pPr>
              <w:spacing w:after="0" w:line="240" w:lineRule="auto"/>
            </w:pPr>
            <w:r>
              <w:rPr>
                <w:b/>
                <w:sz w:val="17"/>
              </w:rPr>
              <w:t>Previous No-Show Group</w:t>
            </w:r>
          </w:p>
        </w:tc>
        <w:tc>
          <w:tcPr>
            <w:tcW w:w="5112" w:type="dxa"/>
            <w:shd w:val="clear" w:color="auto" w:fill="D9EAF7"/>
          </w:tcPr>
          <w:p w14:paraId="48625D10">
            <w:pPr>
              <w:spacing w:after="0" w:line="240" w:lineRule="auto"/>
            </w:pPr>
            <w:r>
              <w:rPr>
                <w:b/>
                <w:sz w:val="17"/>
              </w:rPr>
              <w:t>No-Show Rate</w:t>
            </w:r>
          </w:p>
        </w:tc>
      </w:tr>
      <w:tr w14:paraId="7C871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C153987">
            <w:pPr>
              <w:spacing w:after="0" w:line="240" w:lineRule="auto"/>
            </w:pPr>
            <w:r>
              <w:rPr>
                <w:sz w:val="17"/>
              </w:rPr>
              <w:t>0 previous no-shows</w:t>
            </w:r>
          </w:p>
        </w:tc>
        <w:tc>
          <w:tcPr>
            <w:tcW w:w="5112" w:type="dxa"/>
            <w:vAlign w:val="center"/>
          </w:tcPr>
          <w:p w14:paraId="0FE7B72A">
            <w:pPr>
              <w:spacing w:after="0" w:line="240" w:lineRule="auto"/>
            </w:pPr>
            <w:r>
              <w:rPr>
                <w:sz w:val="17"/>
              </w:rPr>
              <w:t>48.51%</w:t>
            </w:r>
          </w:p>
        </w:tc>
      </w:tr>
      <w:tr w14:paraId="4596F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BACA0DB">
            <w:pPr>
              <w:spacing w:after="0" w:line="240" w:lineRule="auto"/>
            </w:pPr>
            <w:r>
              <w:rPr>
                <w:sz w:val="17"/>
              </w:rPr>
              <w:t>1 previous no-show</w:t>
            </w:r>
          </w:p>
        </w:tc>
        <w:tc>
          <w:tcPr>
            <w:tcW w:w="5112" w:type="dxa"/>
            <w:vAlign w:val="center"/>
          </w:tcPr>
          <w:p w14:paraId="6ECA85B3">
            <w:pPr>
              <w:spacing w:after="0" w:line="240" w:lineRule="auto"/>
            </w:pPr>
            <w:r>
              <w:rPr>
                <w:sz w:val="17"/>
              </w:rPr>
              <w:t>53.49%</w:t>
            </w:r>
          </w:p>
        </w:tc>
      </w:tr>
      <w:tr w14:paraId="0C416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599C4DD">
            <w:pPr>
              <w:spacing w:after="0" w:line="240" w:lineRule="auto"/>
            </w:pPr>
            <w:r>
              <w:rPr>
                <w:sz w:val="17"/>
              </w:rPr>
              <w:t>2 previous no-shows</w:t>
            </w:r>
          </w:p>
        </w:tc>
        <w:tc>
          <w:tcPr>
            <w:tcW w:w="5112" w:type="dxa"/>
            <w:vAlign w:val="center"/>
          </w:tcPr>
          <w:p w14:paraId="63B4A231">
            <w:pPr>
              <w:spacing w:after="0" w:line="240" w:lineRule="auto"/>
            </w:pPr>
            <w:r>
              <w:rPr>
                <w:sz w:val="17"/>
              </w:rPr>
              <w:t>59.36%</w:t>
            </w:r>
          </w:p>
        </w:tc>
      </w:tr>
      <w:tr w14:paraId="4217D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4AA48D3">
            <w:pPr>
              <w:spacing w:after="0" w:line="240" w:lineRule="auto"/>
            </w:pPr>
            <w:r>
              <w:rPr>
                <w:sz w:val="17"/>
              </w:rPr>
              <w:t>3+ previous no-shows</w:t>
            </w:r>
          </w:p>
        </w:tc>
        <w:tc>
          <w:tcPr>
            <w:tcW w:w="5112" w:type="dxa"/>
            <w:vAlign w:val="center"/>
          </w:tcPr>
          <w:p w14:paraId="6B19C40F">
            <w:pPr>
              <w:spacing w:after="0" w:line="240" w:lineRule="auto"/>
            </w:pPr>
            <w:r>
              <w:rPr>
                <w:sz w:val="17"/>
              </w:rPr>
              <w:t>68.82%</w:t>
            </w:r>
          </w:p>
        </w:tc>
      </w:tr>
    </w:tbl>
    <w:p w14:paraId="65A6D7D8">
      <w:pPr>
        <w:spacing w:after="20"/>
      </w:pPr>
    </w:p>
    <w:p w14:paraId="5295BE5C">
      <w:r>
        <w:t>No-show rate increased as previous no-show history increased. The rate rose from 48.51% among appointments with no previous no-shows to 68.82% among appointments with three or more previous no-shows, a 20.31 percentage-point difference.</w:t>
      </w:r>
    </w:p>
    <w:p w14:paraId="4C870D2F">
      <w:pPr>
        <w:pStyle w:val="3"/>
      </w:pPr>
      <w:r>
        <w:t>7.5 Age Group and No-Show Rate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1FBE7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tcPr>
          <w:p w14:paraId="0188D394">
            <w:pPr>
              <w:spacing w:after="0" w:line="240" w:lineRule="auto"/>
            </w:pPr>
            <w:r>
              <w:rPr>
                <w:b/>
                <w:sz w:val="17"/>
              </w:rPr>
              <w:t>Age Group</w:t>
            </w:r>
          </w:p>
        </w:tc>
        <w:tc>
          <w:tcPr>
            <w:tcW w:w="5112" w:type="dxa"/>
            <w:shd w:val="clear" w:color="auto" w:fill="D9EAF7"/>
          </w:tcPr>
          <w:p w14:paraId="743D5157">
            <w:pPr>
              <w:spacing w:after="0" w:line="240" w:lineRule="auto"/>
            </w:pPr>
            <w:r>
              <w:rPr>
                <w:b/>
                <w:sz w:val="17"/>
              </w:rPr>
              <w:t>No-Show Rate</w:t>
            </w:r>
          </w:p>
        </w:tc>
      </w:tr>
      <w:tr w14:paraId="28E2E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51922D3">
            <w:pPr>
              <w:spacing w:after="0" w:line="240" w:lineRule="auto"/>
            </w:pPr>
            <w:r>
              <w:rPr>
                <w:sz w:val="17"/>
              </w:rPr>
              <w:t>55–64</w:t>
            </w:r>
          </w:p>
        </w:tc>
        <w:tc>
          <w:tcPr>
            <w:tcW w:w="5112" w:type="dxa"/>
            <w:vAlign w:val="center"/>
          </w:tcPr>
          <w:p w14:paraId="1A1F0736">
            <w:pPr>
              <w:spacing w:after="0" w:line="240" w:lineRule="auto"/>
            </w:pPr>
            <w:r>
              <w:rPr>
                <w:sz w:val="17"/>
              </w:rPr>
              <w:t>50.75%</w:t>
            </w:r>
          </w:p>
        </w:tc>
      </w:tr>
      <w:tr w14:paraId="6AF27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2BB5844">
            <w:pPr>
              <w:spacing w:after="0" w:line="240" w:lineRule="auto"/>
            </w:pPr>
            <w:r>
              <w:rPr>
                <w:sz w:val="17"/>
              </w:rPr>
              <w:t>25–34</w:t>
            </w:r>
          </w:p>
        </w:tc>
        <w:tc>
          <w:tcPr>
            <w:tcW w:w="5112" w:type="dxa"/>
            <w:vAlign w:val="center"/>
          </w:tcPr>
          <w:p w14:paraId="7772EE5F">
            <w:pPr>
              <w:spacing w:after="0" w:line="240" w:lineRule="auto"/>
            </w:pPr>
            <w:r>
              <w:rPr>
                <w:sz w:val="17"/>
              </w:rPr>
              <w:t>50.70%</w:t>
            </w:r>
          </w:p>
        </w:tc>
      </w:tr>
      <w:tr w14:paraId="1C706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5D9527C">
            <w:pPr>
              <w:spacing w:after="0" w:line="240" w:lineRule="auto"/>
            </w:pPr>
            <w:r>
              <w:rPr>
                <w:sz w:val="17"/>
              </w:rPr>
              <w:t>18–24</w:t>
            </w:r>
          </w:p>
        </w:tc>
        <w:tc>
          <w:tcPr>
            <w:tcW w:w="5112" w:type="dxa"/>
            <w:vAlign w:val="center"/>
          </w:tcPr>
          <w:p w14:paraId="4D1E08A7">
            <w:pPr>
              <w:spacing w:after="0" w:line="240" w:lineRule="auto"/>
            </w:pPr>
            <w:r>
              <w:rPr>
                <w:sz w:val="17"/>
              </w:rPr>
              <w:t>50.18%</w:t>
            </w:r>
          </w:p>
        </w:tc>
      </w:tr>
      <w:tr w14:paraId="76504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79735ED">
            <w:pPr>
              <w:spacing w:after="0" w:line="240" w:lineRule="auto"/>
            </w:pPr>
            <w:r>
              <w:rPr>
                <w:sz w:val="17"/>
              </w:rPr>
              <w:t>35–44</w:t>
            </w:r>
          </w:p>
        </w:tc>
        <w:tc>
          <w:tcPr>
            <w:tcW w:w="5112" w:type="dxa"/>
            <w:vAlign w:val="center"/>
          </w:tcPr>
          <w:p w14:paraId="678191A2">
            <w:pPr>
              <w:spacing w:after="0" w:line="240" w:lineRule="auto"/>
            </w:pPr>
            <w:r>
              <w:rPr>
                <w:sz w:val="17"/>
              </w:rPr>
              <w:t>48.35%</w:t>
            </w:r>
          </w:p>
        </w:tc>
      </w:tr>
      <w:tr w14:paraId="558A5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7A33218">
            <w:pPr>
              <w:spacing w:after="0" w:line="240" w:lineRule="auto"/>
            </w:pPr>
            <w:r>
              <w:rPr>
                <w:sz w:val="17"/>
              </w:rPr>
              <w:t>45–54</w:t>
            </w:r>
          </w:p>
        </w:tc>
        <w:tc>
          <w:tcPr>
            <w:tcW w:w="5112" w:type="dxa"/>
            <w:vAlign w:val="center"/>
          </w:tcPr>
          <w:p w14:paraId="20FC702C">
            <w:pPr>
              <w:spacing w:after="0" w:line="240" w:lineRule="auto"/>
            </w:pPr>
            <w:r>
              <w:rPr>
                <w:sz w:val="17"/>
              </w:rPr>
              <w:t>48.05%</w:t>
            </w:r>
          </w:p>
        </w:tc>
      </w:tr>
      <w:tr w14:paraId="0CE73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7DE74AD">
            <w:pPr>
              <w:spacing w:after="0" w:line="240" w:lineRule="auto"/>
            </w:pPr>
            <w:r>
              <w:rPr>
                <w:sz w:val="17"/>
              </w:rPr>
              <w:t>65+</w:t>
            </w:r>
          </w:p>
        </w:tc>
        <w:tc>
          <w:tcPr>
            <w:tcW w:w="5112" w:type="dxa"/>
            <w:vAlign w:val="center"/>
          </w:tcPr>
          <w:p w14:paraId="74A49C0B">
            <w:pPr>
              <w:spacing w:after="0" w:line="240" w:lineRule="auto"/>
            </w:pPr>
            <w:r>
              <w:rPr>
                <w:sz w:val="17"/>
              </w:rPr>
              <w:t>45.12%</w:t>
            </w:r>
          </w:p>
        </w:tc>
      </w:tr>
    </w:tbl>
    <w:p w14:paraId="67DBB623">
      <w:pPr>
        <w:spacing w:after="20"/>
      </w:pPr>
    </w:p>
    <w:p w14:paraId="52C20505">
      <w:r>
        <w:t>The 55–64 age group recorded the highest no-show rate at 50.75%, while the 65+ group recorded the lowest at 45.12%. The range is relatively narrow compared with the stronger patterns for booking lead time and previous no-show history.</w:t>
      </w:r>
    </w:p>
    <w:p w14:paraId="583EBD2E">
      <w:pPr>
        <w:pStyle w:val="3"/>
      </w:pPr>
      <w:r>
        <w:t>7.6 Appointment Type and No-Show Rate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4FC30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tcPr>
          <w:p w14:paraId="445719AD">
            <w:pPr>
              <w:spacing w:after="0" w:line="240" w:lineRule="auto"/>
            </w:pPr>
            <w:r>
              <w:rPr>
                <w:b/>
                <w:sz w:val="17"/>
              </w:rPr>
              <w:t>Appointment Type</w:t>
            </w:r>
          </w:p>
        </w:tc>
        <w:tc>
          <w:tcPr>
            <w:tcW w:w="5112" w:type="dxa"/>
            <w:shd w:val="clear" w:color="auto" w:fill="D9EAF7"/>
          </w:tcPr>
          <w:p w14:paraId="4F950254">
            <w:pPr>
              <w:spacing w:after="0" w:line="240" w:lineRule="auto"/>
            </w:pPr>
            <w:r>
              <w:rPr>
                <w:b/>
                <w:sz w:val="17"/>
              </w:rPr>
              <w:t>No-Show Rate</w:t>
            </w:r>
          </w:p>
        </w:tc>
      </w:tr>
      <w:tr w14:paraId="22A52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A6965ED">
            <w:pPr>
              <w:spacing w:after="0" w:line="240" w:lineRule="auto"/>
            </w:pPr>
            <w:r>
              <w:rPr>
                <w:sz w:val="17"/>
              </w:rPr>
              <w:t>Follow-up</w:t>
            </w:r>
          </w:p>
        </w:tc>
        <w:tc>
          <w:tcPr>
            <w:tcW w:w="5112" w:type="dxa"/>
            <w:vAlign w:val="center"/>
          </w:tcPr>
          <w:p w14:paraId="6EBF64D6">
            <w:pPr>
              <w:spacing w:after="0" w:line="240" w:lineRule="auto"/>
            </w:pPr>
            <w:r>
              <w:rPr>
                <w:sz w:val="17"/>
              </w:rPr>
              <w:t>51.23%</w:t>
            </w:r>
          </w:p>
        </w:tc>
      </w:tr>
      <w:tr w14:paraId="7EF06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ADC8166">
            <w:pPr>
              <w:spacing w:after="0" w:line="240" w:lineRule="auto"/>
            </w:pPr>
            <w:r>
              <w:rPr>
                <w:sz w:val="17"/>
              </w:rPr>
              <w:t>Diagnostic Test</w:t>
            </w:r>
          </w:p>
        </w:tc>
        <w:tc>
          <w:tcPr>
            <w:tcW w:w="5112" w:type="dxa"/>
            <w:vAlign w:val="center"/>
          </w:tcPr>
          <w:p w14:paraId="068CF586">
            <w:pPr>
              <w:spacing w:after="0" w:line="240" w:lineRule="auto"/>
            </w:pPr>
            <w:r>
              <w:rPr>
                <w:sz w:val="17"/>
              </w:rPr>
              <w:t>49.75%</w:t>
            </w:r>
          </w:p>
        </w:tc>
      </w:tr>
      <w:tr w14:paraId="0158B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EDF609B">
            <w:pPr>
              <w:spacing w:after="0" w:line="240" w:lineRule="auto"/>
            </w:pPr>
            <w:r>
              <w:rPr>
                <w:sz w:val="17"/>
              </w:rPr>
              <w:t>Specialist Consultation</w:t>
            </w:r>
          </w:p>
        </w:tc>
        <w:tc>
          <w:tcPr>
            <w:tcW w:w="5112" w:type="dxa"/>
            <w:vAlign w:val="center"/>
          </w:tcPr>
          <w:p w14:paraId="377C91D2">
            <w:pPr>
              <w:spacing w:after="0" w:line="240" w:lineRule="auto"/>
            </w:pPr>
            <w:r>
              <w:rPr>
                <w:sz w:val="17"/>
              </w:rPr>
              <w:t>47.44%</w:t>
            </w:r>
          </w:p>
        </w:tc>
      </w:tr>
      <w:tr w14:paraId="27588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D1B98F0">
            <w:pPr>
              <w:spacing w:after="0" w:line="240" w:lineRule="auto"/>
            </w:pPr>
            <w:r>
              <w:rPr>
                <w:sz w:val="17"/>
              </w:rPr>
              <w:t>General Consultation</w:t>
            </w:r>
          </w:p>
        </w:tc>
        <w:tc>
          <w:tcPr>
            <w:tcW w:w="5112" w:type="dxa"/>
            <w:vAlign w:val="center"/>
          </w:tcPr>
          <w:p w14:paraId="0D37286D">
            <w:pPr>
              <w:spacing w:after="0" w:line="240" w:lineRule="auto"/>
            </w:pPr>
            <w:r>
              <w:rPr>
                <w:sz w:val="17"/>
              </w:rPr>
              <w:t>46.64%</w:t>
            </w:r>
          </w:p>
        </w:tc>
      </w:tr>
    </w:tbl>
    <w:p w14:paraId="5C32BD95">
      <w:pPr>
        <w:spacing w:after="20"/>
      </w:pPr>
    </w:p>
    <w:p w14:paraId="617D4A75">
      <w:r>
        <w:t>Follow-up appointments had the highest no-show rate at 51.23%, while General Consultation had the lowest at 46.64%. The difference is modest.</w:t>
      </w:r>
    </w:p>
    <w:p w14:paraId="3403E04E">
      <w:pPr>
        <w:pStyle w:val="3"/>
      </w:pPr>
      <w:r>
        <w:t>7.7 Appointment Time Period and No-Show Rate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69481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tcPr>
          <w:p w14:paraId="58225B5B">
            <w:pPr>
              <w:spacing w:after="0" w:line="240" w:lineRule="auto"/>
            </w:pPr>
            <w:r>
              <w:rPr>
                <w:b/>
                <w:sz w:val="17"/>
              </w:rPr>
              <w:t>Time Period</w:t>
            </w:r>
          </w:p>
        </w:tc>
        <w:tc>
          <w:tcPr>
            <w:tcW w:w="5112" w:type="dxa"/>
            <w:shd w:val="clear" w:color="auto" w:fill="D9EAF7"/>
          </w:tcPr>
          <w:p w14:paraId="2E9317C1">
            <w:pPr>
              <w:spacing w:after="0" w:line="240" w:lineRule="auto"/>
            </w:pPr>
            <w:r>
              <w:rPr>
                <w:b/>
                <w:sz w:val="17"/>
              </w:rPr>
              <w:t>No-Show Rate</w:t>
            </w:r>
          </w:p>
        </w:tc>
      </w:tr>
      <w:tr w14:paraId="1CBCA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37CAE6A">
            <w:pPr>
              <w:spacing w:after="0" w:line="240" w:lineRule="auto"/>
            </w:pPr>
            <w:r>
              <w:rPr>
                <w:sz w:val="17"/>
              </w:rPr>
              <w:t>Evening</w:t>
            </w:r>
          </w:p>
        </w:tc>
        <w:tc>
          <w:tcPr>
            <w:tcW w:w="5112" w:type="dxa"/>
            <w:vAlign w:val="center"/>
          </w:tcPr>
          <w:p w14:paraId="7F2B44B8">
            <w:pPr>
              <w:spacing w:after="0" w:line="240" w:lineRule="auto"/>
            </w:pPr>
            <w:r>
              <w:rPr>
                <w:sz w:val="17"/>
              </w:rPr>
              <w:t>49.78%</w:t>
            </w:r>
          </w:p>
        </w:tc>
      </w:tr>
      <w:tr w14:paraId="26832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15A4B6E">
            <w:pPr>
              <w:spacing w:after="0" w:line="240" w:lineRule="auto"/>
            </w:pPr>
            <w:r>
              <w:rPr>
                <w:sz w:val="17"/>
              </w:rPr>
              <w:t>Afternoon</w:t>
            </w:r>
          </w:p>
        </w:tc>
        <w:tc>
          <w:tcPr>
            <w:tcW w:w="5112" w:type="dxa"/>
            <w:vAlign w:val="center"/>
          </w:tcPr>
          <w:p w14:paraId="454D4BA3">
            <w:pPr>
              <w:spacing w:after="0" w:line="240" w:lineRule="auto"/>
            </w:pPr>
            <w:r>
              <w:rPr>
                <w:sz w:val="17"/>
              </w:rPr>
              <w:t>48.38%</w:t>
            </w:r>
          </w:p>
        </w:tc>
      </w:tr>
      <w:tr w14:paraId="2CA19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3C15276">
            <w:pPr>
              <w:spacing w:after="0" w:line="240" w:lineRule="auto"/>
            </w:pPr>
            <w:r>
              <w:rPr>
                <w:sz w:val="17"/>
              </w:rPr>
              <w:t>Morning</w:t>
            </w:r>
          </w:p>
        </w:tc>
        <w:tc>
          <w:tcPr>
            <w:tcW w:w="5112" w:type="dxa"/>
            <w:vAlign w:val="center"/>
          </w:tcPr>
          <w:p w14:paraId="7CD9C3F8">
            <w:pPr>
              <w:spacing w:after="0" w:line="240" w:lineRule="auto"/>
            </w:pPr>
            <w:r>
              <w:rPr>
                <w:sz w:val="17"/>
              </w:rPr>
              <w:t>48.14%</w:t>
            </w:r>
          </w:p>
        </w:tc>
      </w:tr>
    </w:tbl>
    <w:p w14:paraId="425B35B4">
      <w:pPr>
        <w:spacing w:after="20"/>
      </w:pPr>
    </w:p>
    <w:p w14:paraId="73573298">
      <w:r>
        <w:t>Evening appointments had the highest no-show rate at 49.78%, while morning appointments had the lowest at 48.14%. The small difference suggests a modest relationship.</w:t>
      </w:r>
    </w:p>
    <w:p w14:paraId="1A916D42">
      <w:pPr>
        <w:pStyle w:val="3"/>
      </w:pPr>
      <w:r>
        <w:t>7.8 Gender and No-Show Rate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5E8BE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tcPr>
          <w:p w14:paraId="148BD77D">
            <w:pPr>
              <w:spacing w:after="0" w:line="240" w:lineRule="auto"/>
            </w:pPr>
            <w:r>
              <w:rPr>
                <w:b/>
                <w:sz w:val="17"/>
              </w:rPr>
              <w:t>Gender</w:t>
            </w:r>
          </w:p>
        </w:tc>
        <w:tc>
          <w:tcPr>
            <w:tcW w:w="5112" w:type="dxa"/>
            <w:shd w:val="clear" w:color="auto" w:fill="D9EAF7"/>
          </w:tcPr>
          <w:p w14:paraId="4D7D9083">
            <w:pPr>
              <w:spacing w:after="0" w:line="240" w:lineRule="auto"/>
            </w:pPr>
            <w:r>
              <w:rPr>
                <w:b/>
                <w:sz w:val="17"/>
              </w:rPr>
              <w:t>No-Show Rate</w:t>
            </w:r>
          </w:p>
        </w:tc>
      </w:tr>
      <w:tr w14:paraId="6962D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B074B64">
            <w:pPr>
              <w:spacing w:after="0" w:line="240" w:lineRule="auto"/>
            </w:pPr>
            <w:r>
              <w:rPr>
                <w:sz w:val="17"/>
              </w:rPr>
              <w:t>Male</w:t>
            </w:r>
          </w:p>
        </w:tc>
        <w:tc>
          <w:tcPr>
            <w:tcW w:w="5112" w:type="dxa"/>
            <w:vAlign w:val="center"/>
          </w:tcPr>
          <w:p w14:paraId="1D2B7050">
            <w:pPr>
              <w:spacing w:after="0" w:line="240" w:lineRule="auto"/>
            </w:pPr>
            <w:r>
              <w:rPr>
                <w:sz w:val="17"/>
              </w:rPr>
              <w:t>48.71%</w:t>
            </w:r>
          </w:p>
        </w:tc>
      </w:tr>
      <w:tr w14:paraId="7B9E5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04AFDBE">
            <w:pPr>
              <w:spacing w:after="0" w:line="240" w:lineRule="auto"/>
            </w:pPr>
            <w:r>
              <w:rPr>
                <w:sz w:val="17"/>
              </w:rPr>
              <w:t>Female</w:t>
            </w:r>
          </w:p>
        </w:tc>
        <w:tc>
          <w:tcPr>
            <w:tcW w:w="5112" w:type="dxa"/>
            <w:vAlign w:val="center"/>
          </w:tcPr>
          <w:p w14:paraId="64A2E9C4">
            <w:pPr>
              <w:spacing w:after="0" w:line="240" w:lineRule="auto"/>
            </w:pPr>
            <w:r>
              <w:rPr>
                <w:sz w:val="17"/>
              </w:rPr>
              <w:t>48.43%</w:t>
            </w:r>
          </w:p>
        </w:tc>
      </w:tr>
      <w:tr w14:paraId="1A5EB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98DE131">
            <w:pPr>
              <w:spacing w:after="0" w:line="240" w:lineRule="auto"/>
            </w:pPr>
            <w:r>
              <w:rPr>
                <w:sz w:val="17"/>
              </w:rPr>
              <w:t>Prefer not to say</w:t>
            </w:r>
          </w:p>
        </w:tc>
        <w:tc>
          <w:tcPr>
            <w:tcW w:w="5112" w:type="dxa"/>
            <w:vAlign w:val="center"/>
          </w:tcPr>
          <w:p w14:paraId="05F68C0E">
            <w:pPr>
              <w:spacing w:after="0" w:line="240" w:lineRule="auto"/>
            </w:pPr>
            <w:r>
              <w:rPr>
                <w:sz w:val="17"/>
              </w:rPr>
              <w:t>43.52%</w:t>
            </w:r>
          </w:p>
        </w:tc>
      </w:tr>
    </w:tbl>
    <w:p w14:paraId="1FC645AB">
      <w:pPr>
        <w:spacing w:after="20"/>
      </w:pPr>
    </w:p>
    <w:p w14:paraId="5ACDAD3B">
      <w:r>
        <w:t>Male and female no-show rates were almost identical. Gender therefore does not appear to be a major differentiator in this dataset.</w:t>
      </w:r>
    </w:p>
    <w:p w14:paraId="39E2FFF0">
      <w:pPr>
        <w:pStyle w:val="3"/>
      </w:pPr>
      <w:r>
        <w:t>7.9 Distance to Clinic and Waiting Time</w:t>
      </w:r>
    </w:p>
    <w:p w14:paraId="286EB1BC">
      <w:r>
        <w:t>Distance to clinic was included in the exploratory analysis using grouped distance bands, and waiting time was included as a relevant analytical variable. The dashboard contains the distance-group visual. Because distance and waiting time contain missing observations, these variables should be interpreted with care and should not be used to make causal conclusions from this initial analysis.</w:t>
      </w:r>
    </w:p>
    <w:p w14:paraId="2125E302">
      <w:pPr>
        <w:pStyle w:val="2"/>
      </w:pPr>
      <w:r>
        <w:t>8. Key Findings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71E04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tcPr>
          <w:p w14:paraId="6BE279BC">
            <w:pPr>
              <w:spacing w:after="0" w:line="240" w:lineRule="auto"/>
            </w:pPr>
            <w:r>
              <w:rPr>
                <w:b/>
                <w:sz w:val="15"/>
              </w:rPr>
              <w:t>Finding</w:t>
            </w:r>
          </w:p>
        </w:tc>
        <w:tc>
          <w:tcPr>
            <w:tcW w:w="3408" w:type="dxa"/>
            <w:shd w:val="clear" w:color="auto" w:fill="D9EAF7"/>
          </w:tcPr>
          <w:p w14:paraId="03CBCAB7">
            <w:pPr>
              <w:spacing w:after="0" w:line="240" w:lineRule="auto"/>
            </w:pPr>
            <w:r>
              <w:rPr>
                <w:b/>
                <w:sz w:val="15"/>
              </w:rPr>
              <w:t>Evidence</w:t>
            </w:r>
          </w:p>
        </w:tc>
        <w:tc>
          <w:tcPr>
            <w:tcW w:w="3408" w:type="dxa"/>
            <w:shd w:val="clear" w:color="auto" w:fill="D9EAF7"/>
          </w:tcPr>
          <w:p w14:paraId="67F535EC">
            <w:pPr>
              <w:spacing w:after="0" w:line="240" w:lineRule="auto"/>
            </w:pPr>
            <w:r>
              <w:rPr>
                <w:b/>
                <w:sz w:val="15"/>
              </w:rPr>
              <w:t>Business Implication</w:t>
            </w:r>
          </w:p>
        </w:tc>
      </w:tr>
      <w:tr w14:paraId="0C908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B12DE4F">
            <w:pPr>
              <w:spacing w:after="0" w:line="240" w:lineRule="auto"/>
            </w:pPr>
            <w:r>
              <w:rPr>
                <w:sz w:val="15"/>
              </w:rPr>
              <w:t>1. No-shows are the main appointment outcome.</w:t>
            </w:r>
          </w:p>
        </w:tc>
        <w:tc>
          <w:tcPr>
            <w:tcW w:w="3408" w:type="dxa"/>
            <w:vAlign w:val="center"/>
          </w:tcPr>
          <w:p w14:paraId="682CF451">
            <w:pPr>
              <w:spacing w:after="0" w:line="240" w:lineRule="auto"/>
            </w:pPr>
            <w:r>
              <w:rPr>
                <w:sz w:val="15"/>
              </w:rPr>
              <w:t>48.46% of appointments were No-Show.</w:t>
            </w:r>
          </w:p>
        </w:tc>
        <w:tc>
          <w:tcPr>
            <w:tcW w:w="3408" w:type="dxa"/>
            <w:vAlign w:val="center"/>
          </w:tcPr>
          <w:p w14:paraId="7FBD7C0B">
            <w:pPr>
              <w:spacing w:after="0" w:line="240" w:lineRule="auto"/>
            </w:pPr>
            <w:r>
              <w:rPr>
                <w:sz w:val="15"/>
              </w:rPr>
              <w:t>Missed appointments should be treated as a major operational priority.</w:t>
            </w:r>
          </w:p>
        </w:tc>
      </w:tr>
      <w:tr w14:paraId="1F63E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CFC5931">
            <w:pPr>
              <w:spacing w:after="0" w:line="240" w:lineRule="auto"/>
            </w:pPr>
            <w:r>
              <w:rPr>
                <w:sz w:val="15"/>
              </w:rPr>
              <w:t>2. Longer booking lead time is strongly associated with no-shows.</w:t>
            </w:r>
          </w:p>
        </w:tc>
        <w:tc>
          <w:tcPr>
            <w:tcW w:w="3408" w:type="dxa"/>
            <w:vAlign w:val="center"/>
          </w:tcPr>
          <w:p w14:paraId="25A51063">
            <w:pPr>
              <w:spacing w:after="0" w:line="240" w:lineRule="auto"/>
            </w:pPr>
            <w:r>
              <w:rPr>
                <w:sz w:val="15"/>
              </w:rPr>
              <w:t>27.81% at 0–7 days versus 67.69% at 46–60 days.</w:t>
            </w:r>
          </w:p>
        </w:tc>
        <w:tc>
          <w:tcPr>
            <w:tcW w:w="3408" w:type="dxa"/>
            <w:vAlign w:val="center"/>
          </w:tcPr>
          <w:p w14:paraId="4F05EF65">
            <w:pPr>
              <w:spacing w:after="0" w:line="240" w:lineRule="auto"/>
            </w:pPr>
            <w:r>
              <w:rPr>
                <w:sz w:val="15"/>
              </w:rPr>
              <w:t>Long-lead appointments may require stronger confirmation/engagement.</w:t>
            </w:r>
          </w:p>
        </w:tc>
      </w:tr>
      <w:tr w14:paraId="4F790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7B780E8">
            <w:pPr>
              <w:spacing w:after="0" w:line="240" w:lineRule="auto"/>
            </w:pPr>
            <w:r>
              <w:rPr>
                <w:sz w:val="15"/>
              </w:rPr>
              <w:t>3. Previous no-show history is a strong indicator.</w:t>
            </w:r>
          </w:p>
        </w:tc>
        <w:tc>
          <w:tcPr>
            <w:tcW w:w="3408" w:type="dxa"/>
            <w:vAlign w:val="center"/>
          </w:tcPr>
          <w:p w14:paraId="04C1AF91">
            <w:pPr>
              <w:spacing w:after="0" w:line="240" w:lineRule="auto"/>
            </w:pPr>
            <w:r>
              <w:rPr>
                <w:sz w:val="15"/>
              </w:rPr>
              <w:t>48.51% with 0 previous no-shows versus 68.82% with 3+.</w:t>
            </w:r>
          </w:p>
        </w:tc>
        <w:tc>
          <w:tcPr>
            <w:tcW w:w="3408" w:type="dxa"/>
            <w:vAlign w:val="center"/>
          </w:tcPr>
          <w:p w14:paraId="08D4FB0A">
            <w:pPr>
              <w:spacing w:after="0" w:line="240" w:lineRule="auto"/>
            </w:pPr>
            <w:r>
              <w:rPr>
                <w:sz w:val="15"/>
              </w:rPr>
              <w:t>Past attendance behaviour can support targeted follow-up and future risk analysis.</w:t>
            </w:r>
          </w:p>
        </w:tc>
      </w:tr>
      <w:tr w14:paraId="367D1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A3FA5FC">
            <w:pPr>
              <w:spacing w:after="0" w:line="240" w:lineRule="auto"/>
            </w:pPr>
            <w:r>
              <w:rPr>
                <w:sz w:val="15"/>
              </w:rPr>
              <w:t>4. Reminder-sent appointments show better attendance.</w:t>
            </w:r>
          </w:p>
        </w:tc>
        <w:tc>
          <w:tcPr>
            <w:tcW w:w="3408" w:type="dxa"/>
            <w:vAlign w:val="center"/>
          </w:tcPr>
          <w:p w14:paraId="686D9259">
            <w:pPr>
              <w:spacing w:after="0" w:line="240" w:lineRule="auto"/>
            </w:pPr>
            <w:r>
              <w:rPr>
                <w:sz w:val="15"/>
              </w:rPr>
              <w:t>47.63% attendance with reminders versus 42.68% without.</w:t>
            </w:r>
          </w:p>
        </w:tc>
        <w:tc>
          <w:tcPr>
            <w:tcW w:w="3408" w:type="dxa"/>
            <w:vAlign w:val="center"/>
          </w:tcPr>
          <w:p w14:paraId="48ABEB13">
            <w:pPr>
              <w:spacing w:after="0" w:line="240" w:lineRule="auto"/>
            </w:pPr>
            <w:r>
              <w:rPr>
                <w:sz w:val="15"/>
              </w:rPr>
              <w:t>Reminder processes are worth monitoring and testing.</w:t>
            </w:r>
          </w:p>
        </w:tc>
      </w:tr>
      <w:tr w14:paraId="2C73A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2C9F247">
            <w:pPr>
              <w:spacing w:after="0" w:line="240" w:lineRule="auto"/>
            </w:pPr>
            <w:r>
              <w:rPr>
                <w:sz w:val="15"/>
              </w:rPr>
              <w:t>5. Age differences are modest.</w:t>
            </w:r>
          </w:p>
        </w:tc>
        <w:tc>
          <w:tcPr>
            <w:tcW w:w="3408" w:type="dxa"/>
            <w:vAlign w:val="center"/>
          </w:tcPr>
          <w:p w14:paraId="71804008">
            <w:pPr>
              <w:spacing w:after="0" w:line="240" w:lineRule="auto"/>
            </w:pPr>
            <w:r>
              <w:rPr>
                <w:sz w:val="15"/>
              </w:rPr>
              <w:t>45.12% to 50.75% across age groups.</w:t>
            </w:r>
          </w:p>
        </w:tc>
        <w:tc>
          <w:tcPr>
            <w:tcW w:w="3408" w:type="dxa"/>
            <w:vAlign w:val="center"/>
          </w:tcPr>
          <w:p w14:paraId="2AF03BD6">
            <w:pPr>
              <w:spacing w:after="0" w:line="240" w:lineRule="auto"/>
            </w:pPr>
            <w:r>
              <w:rPr>
                <w:sz w:val="15"/>
              </w:rPr>
              <w:t>Age can support segmentation but is not the primary driver.</w:t>
            </w:r>
          </w:p>
        </w:tc>
      </w:tr>
      <w:tr w14:paraId="096A9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36256BE">
            <w:pPr>
              <w:spacing w:after="0" w:line="240" w:lineRule="auto"/>
            </w:pPr>
            <w:r>
              <w:rPr>
                <w:sz w:val="15"/>
              </w:rPr>
              <w:t>6. Appointment type has a moderate difference.</w:t>
            </w:r>
          </w:p>
        </w:tc>
        <w:tc>
          <w:tcPr>
            <w:tcW w:w="3408" w:type="dxa"/>
            <w:vAlign w:val="center"/>
          </w:tcPr>
          <w:p w14:paraId="597EF2F4">
            <w:pPr>
              <w:spacing w:after="0" w:line="240" w:lineRule="auto"/>
            </w:pPr>
            <w:r>
              <w:rPr>
                <w:sz w:val="15"/>
              </w:rPr>
              <w:t>51.23% Follow-up versus 46.64% General Consultation.</w:t>
            </w:r>
          </w:p>
        </w:tc>
        <w:tc>
          <w:tcPr>
            <w:tcW w:w="3408" w:type="dxa"/>
            <w:vAlign w:val="center"/>
          </w:tcPr>
          <w:p w14:paraId="24D0E3DF">
            <w:pPr>
              <w:spacing w:after="0" w:line="240" w:lineRule="auto"/>
            </w:pPr>
            <w:r>
              <w:rPr>
                <w:sz w:val="15"/>
              </w:rPr>
              <w:t>Appointment type may help identify groups for investigation.</w:t>
            </w:r>
          </w:p>
        </w:tc>
      </w:tr>
      <w:tr w14:paraId="38A38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BD4EFB8">
            <w:pPr>
              <w:spacing w:after="0" w:line="240" w:lineRule="auto"/>
            </w:pPr>
            <w:r>
              <w:rPr>
                <w:sz w:val="15"/>
              </w:rPr>
              <w:t>7. Time period shows a small difference.</w:t>
            </w:r>
          </w:p>
        </w:tc>
        <w:tc>
          <w:tcPr>
            <w:tcW w:w="3408" w:type="dxa"/>
            <w:vAlign w:val="center"/>
          </w:tcPr>
          <w:p w14:paraId="5E992994">
            <w:pPr>
              <w:spacing w:after="0" w:line="240" w:lineRule="auto"/>
            </w:pPr>
            <w:r>
              <w:rPr>
                <w:sz w:val="15"/>
              </w:rPr>
              <w:t>49.78% Evening versus 48.14% Morning.</w:t>
            </w:r>
          </w:p>
        </w:tc>
        <w:tc>
          <w:tcPr>
            <w:tcW w:w="3408" w:type="dxa"/>
            <w:vAlign w:val="center"/>
          </w:tcPr>
          <w:p w14:paraId="6A98F293">
            <w:pPr>
              <w:spacing w:after="0" w:line="240" w:lineRule="auto"/>
            </w:pPr>
            <w:r>
              <w:rPr>
                <w:sz w:val="15"/>
              </w:rPr>
              <w:t>Time period alone is unlikely to explain most no-shows.</w:t>
            </w:r>
          </w:p>
        </w:tc>
      </w:tr>
      <w:tr w14:paraId="35E96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CC162FB">
            <w:pPr>
              <w:spacing w:after="0" w:line="240" w:lineRule="auto"/>
            </w:pPr>
            <w:r>
              <w:rPr>
                <w:sz w:val="15"/>
              </w:rPr>
              <w:t>8. Gender is not a major differentiator.</w:t>
            </w:r>
          </w:p>
        </w:tc>
        <w:tc>
          <w:tcPr>
            <w:tcW w:w="3408" w:type="dxa"/>
            <w:vAlign w:val="center"/>
          </w:tcPr>
          <w:p w14:paraId="2D5BBE30">
            <w:pPr>
              <w:spacing w:after="0" w:line="240" w:lineRule="auto"/>
            </w:pPr>
            <w:r>
              <w:rPr>
                <w:sz w:val="15"/>
              </w:rPr>
              <w:t>48.71% Male versus 48.43% Female.</w:t>
            </w:r>
          </w:p>
        </w:tc>
        <w:tc>
          <w:tcPr>
            <w:tcW w:w="3408" w:type="dxa"/>
            <w:vAlign w:val="center"/>
          </w:tcPr>
          <w:p w14:paraId="0D90106A">
            <w:pPr>
              <w:spacing w:after="0" w:line="240" w:lineRule="auto"/>
            </w:pPr>
            <w:r>
              <w:rPr>
                <w:sz w:val="15"/>
              </w:rPr>
              <w:t>Gender should not be prioritised as a major intervention variable alone.</w:t>
            </w:r>
          </w:p>
        </w:tc>
      </w:tr>
    </w:tbl>
    <w:p w14:paraId="66C17FA1">
      <w:pPr>
        <w:spacing w:after="20"/>
      </w:pPr>
    </w:p>
    <w:p w14:paraId="72ADD5C1">
      <w:pPr>
        <w:pStyle w:val="2"/>
      </w:pPr>
      <w:r>
        <w:t>9. Business Recommendations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0B040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D9EAF7"/>
          </w:tcPr>
          <w:p w14:paraId="0BF2B7F6">
            <w:pPr>
              <w:spacing w:after="0" w:line="240" w:lineRule="auto"/>
            </w:pPr>
            <w:r>
              <w:rPr>
                <w:b/>
                <w:sz w:val="15"/>
              </w:rPr>
              <w:t>Recommendation</w:t>
            </w:r>
          </w:p>
        </w:tc>
        <w:tc>
          <w:tcPr>
            <w:tcW w:w="2556" w:type="dxa"/>
            <w:shd w:val="clear" w:color="auto" w:fill="D9EAF7"/>
          </w:tcPr>
          <w:p w14:paraId="428D610C">
            <w:pPr>
              <w:spacing w:after="0" w:line="240" w:lineRule="auto"/>
            </w:pPr>
            <w:r>
              <w:rPr>
                <w:b/>
                <w:sz w:val="15"/>
              </w:rPr>
              <w:t>Action</w:t>
            </w:r>
          </w:p>
        </w:tc>
        <w:tc>
          <w:tcPr>
            <w:tcW w:w="2556" w:type="dxa"/>
            <w:shd w:val="clear" w:color="auto" w:fill="D9EAF7"/>
          </w:tcPr>
          <w:p w14:paraId="1F4762DA">
            <w:pPr>
              <w:spacing w:after="0" w:line="240" w:lineRule="auto"/>
            </w:pPr>
            <w:r>
              <w:rPr>
                <w:b/>
                <w:sz w:val="15"/>
              </w:rPr>
              <w:t>Priority</w:t>
            </w:r>
          </w:p>
        </w:tc>
        <w:tc>
          <w:tcPr>
            <w:tcW w:w="2556" w:type="dxa"/>
            <w:shd w:val="clear" w:color="auto" w:fill="D9EAF7"/>
          </w:tcPr>
          <w:p w14:paraId="2B37E585">
            <w:pPr>
              <w:spacing w:after="0" w:line="240" w:lineRule="auto"/>
            </w:pPr>
            <w:r>
              <w:rPr>
                <w:b/>
                <w:sz w:val="15"/>
              </w:rPr>
              <w:t>Reason</w:t>
            </w:r>
          </w:p>
        </w:tc>
      </w:tr>
      <w:tr w14:paraId="61797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2FC72A82">
            <w:pPr>
              <w:spacing w:after="0" w:line="240" w:lineRule="auto"/>
            </w:pPr>
            <w:r>
              <w:rPr>
                <w:sz w:val="15"/>
              </w:rPr>
              <w:t>Prioritise high-risk segments</w:t>
            </w:r>
          </w:p>
        </w:tc>
        <w:tc>
          <w:tcPr>
            <w:tcW w:w="2556" w:type="dxa"/>
            <w:vAlign w:val="center"/>
          </w:tcPr>
          <w:p w14:paraId="5C8BD229">
            <w:pPr>
              <w:spacing w:after="0" w:line="240" w:lineRule="auto"/>
            </w:pPr>
            <w:r>
              <w:rPr>
                <w:sz w:val="15"/>
              </w:rPr>
              <w:t>Use previous no-show history and long booking lead time for targeted attendance-support actions.</w:t>
            </w:r>
          </w:p>
        </w:tc>
        <w:tc>
          <w:tcPr>
            <w:tcW w:w="2556" w:type="dxa"/>
            <w:vAlign w:val="center"/>
          </w:tcPr>
          <w:p w14:paraId="34A622DB">
            <w:pPr>
              <w:spacing w:after="0" w:line="240" w:lineRule="auto"/>
            </w:pPr>
            <w:r>
              <w:rPr>
                <w:sz w:val="15"/>
              </w:rPr>
              <w:t>High</w:t>
            </w:r>
          </w:p>
        </w:tc>
        <w:tc>
          <w:tcPr>
            <w:tcW w:w="2556" w:type="dxa"/>
            <w:vAlign w:val="center"/>
          </w:tcPr>
          <w:p w14:paraId="798ED76A">
            <w:pPr>
              <w:spacing w:after="0" w:line="240" w:lineRule="auto"/>
            </w:pPr>
            <w:r>
              <w:rPr>
                <w:sz w:val="15"/>
              </w:rPr>
              <w:t>These variables show the strongest observed patterns.</w:t>
            </w:r>
          </w:p>
        </w:tc>
      </w:tr>
      <w:tr w14:paraId="5A92D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307C56B1">
            <w:pPr>
              <w:spacing w:after="0" w:line="240" w:lineRule="auto"/>
            </w:pPr>
            <w:r>
              <w:rPr>
                <w:sz w:val="15"/>
              </w:rPr>
              <w:t>Strengthen confirmation for long-lead appointments</w:t>
            </w:r>
          </w:p>
        </w:tc>
        <w:tc>
          <w:tcPr>
            <w:tcW w:w="2556" w:type="dxa"/>
            <w:vAlign w:val="center"/>
          </w:tcPr>
          <w:p w14:paraId="108A495C">
            <w:pPr>
              <w:spacing w:after="0" w:line="240" w:lineRule="auto"/>
            </w:pPr>
            <w:r>
              <w:rPr>
                <w:sz w:val="15"/>
              </w:rPr>
              <w:t>Consider additional confirmation or engagement steps for appointments booked far in advance, subject to approved procedures.</w:t>
            </w:r>
          </w:p>
        </w:tc>
        <w:tc>
          <w:tcPr>
            <w:tcW w:w="2556" w:type="dxa"/>
            <w:vAlign w:val="center"/>
          </w:tcPr>
          <w:p w14:paraId="1A8F50CE">
            <w:pPr>
              <w:spacing w:after="0" w:line="240" w:lineRule="auto"/>
            </w:pPr>
            <w:r>
              <w:rPr>
                <w:sz w:val="15"/>
              </w:rPr>
              <w:t>High</w:t>
            </w:r>
          </w:p>
        </w:tc>
        <w:tc>
          <w:tcPr>
            <w:tcW w:w="2556" w:type="dxa"/>
            <w:vAlign w:val="center"/>
          </w:tcPr>
          <w:p w14:paraId="732E11A2">
            <w:pPr>
              <w:spacing w:after="0" w:line="240" w:lineRule="auto"/>
            </w:pPr>
            <w:r>
              <w:rPr>
                <w:sz w:val="15"/>
              </w:rPr>
              <w:t>46–60 day group had a 67.69% no-show rate.</w:t>
            </w:r>
          </w:p>
        </w:tc>
      </w:tr>
      <w:tr w14:paraId="08812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3B49DEB1">
            <w:pPr>
              <w:spacing w:after="0" w:line="240" w:lineRule="auto"/>
            </w:pPr>
            <w:r>
              <w:rPr>
                <w:sz w:val="15"/>
              </w:rPr>
              <w:t>Review reminder coverage</w:t>
            </w:r>
          </w:p>
        </w:tc>
        <w:tc>
          <w:tcPr>
            <w:tcW w:w="2556" w:type="dxa"/>
            <w:vAlign w:val="center"/>
          </w:tcPr>
          <w:p w14:paraId="2BAE46F0">
            <w:pPr>
              <w:spacing w:after="0" w:line="240" w:lineRule="auto"/>
            </w:pPr>
            <w:r>
              <w:rPr>
                <w:sz w:val="15"/>
              </w:rPr>
              <w:t>Investigate why some appointments do not receive reminders and assess whether coverage can be improved.</w:t>
            </w:r>
          </w:p>
        </w:tc>
        <w:tc>
          <w:tcPr>
            <w:tcW w:w="2556" w:type="dxa"/>
            <w:vAlign w:val="center"/>
          </w:tcPr>
          <w:p w14:paraId="0F7E83CA">
            <w:pPr>
              <w:spacing w:after="0" w:line="240" w:lineRule="auto"/>
            </w:pPr>
            <w:r>
              <w:rPr>
                <w:sz w:val="15"/>
              </w:rPr>
              <w:t>High</w:t>
            </w:r>
          </w:p>
        </w:tc>
        <w:tc>
          <w:tcPr>
            <w:tcW w:w="2556" w:type="dxa"/>
            <w:vAlign w:val="center"/>
          </w:tcPr>
          <w:p w14:paraId="4EF8AAC6">
            <w:pPr>
              <w:spacing w:after="0" w:line="240" w:lineRule="auto"/>
            </w:pPr>
            <w:r>
              <w:rPr>
                <w:sz w:val="15"/>
              </w:rPr>
              <w:t>Reminder-sent appointments had higher observed attendance.</w:t>
            </w:r>
          </w:p>
        </w:tc>
      </w:tr>
      <w:tr w14:paraId="336D5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7B47D163">
            <w:pPr>
              <w:spacing w:after="0" w:line="240" w:lineRule="auto"/>
            </w:pPr>
            <w:r>
              <w:rPr>
                <w:sz w:val="15"/>
              </w:rPr>
              <w:t>Maintain a no-show monitoring dashboard</w:t>
            </w:r>
          </w:p>
        </w:tc>
        <w:tc>
          <w:tcPr>
            <w:tcW w:w="2556" w:type="dxa"/>
            <w:vAlign w:val="center"/>
          </w:tcPr>
          <w:p w14:paraId="55E05C3D">
            <w:pPr>
              <w:spacing w:after="0" w:line="240" w:lineRule="auto"/>
            </w:pPr>
            <w:r>
              <w:rPr>
                <w:sz w:val="15"/>
              </w:rPr>
              <w:t>Monitor No-Show Rate, Attendance Rate, Cancellation Rate and key segments.</w:t>
            </w:r>
          </w:p>
        </w:tc>
        <w:tc>
          <w:tcPr>
            <w:tcW w:w="2556" w:type="dxa"/>
            <w:vAlign w:val="center"/>
          </w:tcPr>
          <w:p w14:paraId="0E25003B">
            <w:pPr>
              <w:spacing w:after="0" w:line="240" w:lineRule="auto"/>
            </w:pPr>
            <w:r>
              <w:rPr>
                <w:sz w:val="15"/>
              </w:rPr>
              <w:t>Medium</w:t>
            </w:r>
          </w:p>
        </w:tc>
        <w:tc>
          <w:tcPr>
            <w:tcW w:w="2556" w:type="dxa"/>
            <w:vAlign w:val="center"/>
          </w:tcPr>
          <w:p w14:paraId="5416AB05">
            <w:pPr>
              <w:spacing w:after="0" w:line="240" w:lineRule="auto"/>
            </w:pPr>
            <w:r>
              <w:rPr>
                <w:sz w:val="15"/>
              </w:rPr>
              <w:t>Creates a repeatable management view.</w:t>
            </w:r>
          </w:p>
        </w:tc>
      </w:tr>
      <w:tr w14:paraId="57D7B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024A78FA">
            <w:pPr>
              <w:spacing w:after="0" w:line="240" w:lineRule="auto"/>
            </w:pPr>
            <w:r>
              <w:rPr>
                <w:sz w:val="15"/>
              </w:rPr>
              <w:t>Use prior behaviour in future predictive work</w:t>
            </w:r>
          </w:p>
        </w:tc>
        <w:tc>
          <w:tcPr>
            <w:tcW w:w="2556" w:type="dxa"/>
            <w:vAlign w:val="center"/>
          </w:tcPr>
          <w:p w14:paraId="233D35B2">
            <w:pPr>
              <w:spacing w:after="0" w:line="240" w:lineRule="auto"/>
            </w:pPr>
            <w:r>
              <w:rPr>
                <w:sz w:val="15"/>
              </w:rPr>
              <w:t>Share the previous-no-show finding with Data Science for candidate feature review.</w:t>
            </w:r>
          </w:p>
        </w:tc>
        <w:tc>
          <w:tcPr>
            <w:tcW w:w="2556" w:type="dxa"/>
            <w:vAlign w:val="center"/>
          </w:tcPr>
          <w:p w14:paraId="28FA1E36">
            <w:pPr>
              <w:spacing w:after="0" w:line="240" w:lineRule="auto"/>
            </w:pPr>
            <w:r>
              <w:rPr>
                <w:sz w:val="15"/>
              </w:rPr>
              <w:t>High</w:t>
            </w:r>
          </w:p>
        </w:tc>
        <w:tc>
          <w:tcPr>
            <w:tcW w:w="2556" w:type="dxa"/>
            <w:vAlign w:val="center"/>
          </w:tcPr>
          <w:p w14:paraId="40B2B90B">
            <w:pPr>
              <w:spacing w:after="0" w:line="240" w:lineRule="auto"/>
            </w:pPr>
            <w:r>
              <w:rPr>
                <w:sz w:val="15"/>
              </w:rPr>
              <w:t>Provides an evidence-based input for later prediction.</w:t>
            </w:r>
          </w:p>
        </w:tc>
      </w:tr>
      <w:tr w14:paraId="2FDFB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3E2A2224">
            <w:pPr>
              <w:spacing w:after="0" w:line="240" w:lineRule="auto"/>
            </w:pPr>
            <w:r>
              <w:rPr>
                <w:sz w:val="15"/>
              </w:rPr>
              <w:t>Avoid over-targeting weak differentiators</w:t>
            </w:r>
          </w:p>
        </w:tc>
        <w:tc>
          <w:tcPr>
            <w:tcW w:w="2556" w:type="dxa"/>
            <w:vAlign w:val="center"/>
          </w:tcPr>
          <w:p w14:paraId="67468E7F">
            <w:pPr>
              <w:spacing w:after="0" w:line="240" w:lineRule="auto"/>
            </w:pPr>
            <w:r>
              <w:rPr>
                <w:sz w:val="15"/>
              </w:rPr>
              <w:t>Do not base major interventions on gender or time period alone.</w:t>
            </w:r>
          </w:p>
        </w:tc>
        <w:tc>
          <w:tcPr>
            <w:tcW w:w="2556" w:type="dxa"/>
            <w:vAlign w:val="center"/>
          </w:tcPr>
          <w:p w14:paraId="09E821A4">
            <w:pPr>
              <w:spacing w:after="0" w:line="240" w:lineRule="auto"/>
            </w:pPr>
            <w:r>
              <w:rPr>
                <w:sz w:val="15"/>
              </w:rPr>
              <w:t>Medium</w:t>
            </w:r>
          </w:p>
        </w:tc>
        <w:tc>
          <w:tcPr>
            <w:tcW w:w="2556" w:type="dxa"/>
            <w:vAlign w:val="center"/>
          </w:tcPr>
          <w:p w14:paraId="25836F57">
            <w:pPr>
              <w:spacing w:after="0" w:line="240" w:lineRule="auto"/>
            </w:pPr>
            <w:r>
              <w:rPr>
                <w:sz w:val="15"/>
              </w:rPr>
              <w:t>Observed differences were small.</w:t>
            </w:r>
          </w:p>
        </w:tc>
      </w:tr>
    </w:tbl>
    <w:p w14:paraId="07BD8359">
      <w:pPr>
        <w:spacing w:after="20"/>
      </w:pPr>
    </w:p>
    <w:p w14:paraId="5C89821B">
      <w:pPr>
        <w:pStyle w:val="2"/>
      </w:pPr>
      <w:r>
        <w:t>10. Initial Analytical Dashboard</w:t>
      </w:r>
    </w:p>
    <w:p w14:paraId="19025393">
      <w:r>
        <w:t>I created a dedicated Power BI page titled “Week 5 Dashboard”. It presents the five KPI cards together with the main exploratory visuals developed during the Week 5 analysis. The detailed EDA page was retained, while the dedicated dashboard provides a consolidated view for decision-making.</w:t>
      </w:r>
    </w:p>
    <w:p w14:paraId="5A8E1BBE">
      <w:pPr>
        <w:jc w:val="center"/>
      </w:pPr>
      <w:r>
        <w:drawing>
          <wp:inline distT="0" distB="0" distL="114300" distR="114300">
            <wp:extent cx="5852160" cy="7802880"/>
            <wp:effectExtent l="0" t="0" r="152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852160" cy="7802880"/>
                    </a:xfrm>
                    <a:prstGeom prst="rect">
                      <a:avLst/>
                    </a:prstGeom>
                  </pic:spPr>
                </pic:pic>
              </a:graphicData>
            </a:graphic>
          </wp:inline>
        </w:drawing>
      </w:r>
    </w:p>
    <w:p w14:paraId="79D97951">
      <w:pPr>
        <w:jc w:val="center"/>
      </w:pPr>
      <w:r>
        <w:t>Figure 1: HealthConnect Week 5 Data Analytics Dashboard in Power BI.</w:t>
      </w:r>
    </w:p>
    <w:p w14:paraId="3DBD1AD9">
      <w:pPr>
        <w:pStyle w:val="2"/>
      </w:pPr>
      <w:r>
        <w:t>11. Cross-Track Collaboration</w:t>
      </w:r>
    </w:p>
    <w:p w14:paraId="37AA74F7">
      <w:r>
        <w:t>The Data Analytics work provides information that can be used by the other HealthConnect technical tracks. In particular, the analysis identifies previous no-shows and booking lead time as important variables associated with appointment no-shows. These findings are relevant to the Data Science track because they can inform the selection and review of candidate features for future no-show prediction.</w:t>
      </w:r>
    </w:p>
    <w:p w14:paraId="18990706">
      <w:r>
        <w:t>The analytical output to be shared across the tracks is the Week 5 KPI/EDA summary and the identified high-risk patterns. This creates a direct dependency between descriptive analysis and later predictive modelling. The findings should be treated as evidence for further investigation rather than proof of causal relationships.</w:t>
      </w:r>
    </w:p>
    <w:p w14:paraId="690AAB03">
      <w:r>
        <w:t>Note: this section describes the analytical dependency. Any formal collaboration evidence, such as a message or acknowledgement from another track, should be attached separately if required by the submission process.</w:t>
      </w:r>
    </w:p>
    <w:p w14:paraId="58198C06">
      <w:pPr>
        <w:pStyle w:val="2"/>
      </w:pPr>
      <w:r>
        <w:t>12. Challenges, Decisions and Changes from Week 4</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74FAC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tcPr>
          <w:p w14:paraId="2872E5C9">
            <w:pPr>
              <w:spacing w:after="0" w:line="240" w:lineRule="auto"/>
            </w:pPr>
            <w:r>
              <w:rPr>
                <w:b/>
                <w:sz w:val="16"/>
              </w:rPr>
              <w:t>Area</w:t>
            </w:r>
          </w:p>
        </w:tc>
        <w:tc>
          <w:tcPr>
            <w:tcW w:w="3408" w:type="dxa"/>
            <w:shd w:val="clear" w:color="auto" w:fill="D9EAF7"/>
          </w:tcPr>
          <w:p w14:paraId="5E195CEA">
            <w:pPr>
              <w:spacing w:after="0" w:line="240" w:lineRule="auto"/>
            </w:pPr>
            <w:r>
              <w:rPr>
                <w:b/>
                <w:sz w:val="16"/>
              </w:rPr>
              <w:t>Challenge / Decision</w:t>
            </w:r>
          </w:p>
        </w:tc>
        <w:tc>
          <w:tcPr>
            <w:tcW w:w="3408" w:type="dxa"/>
            <w:shd w:val="clear" w:color="auto" w:fill="D9EAF7"/>
          </w:tcPr>
          <w:p w14:paraId="22F8157F">
            <w:pPr>
              <w:spacing w:after="0" w:line="240" w:lineRule="auto"/>
            </w:pPr>
            <w:r>
              <w:rPr>
                <w:b/>
                <w:sz w:val="16"/>
              </w:rPr>
              <w:t>Outcome</w:t>
            </w:r>
          </w:p>
        </w:tc>
      </w:tr>
      <w:tr w14:paraId="48254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1E92654">
            <w:pPr>
              <w:spacing w:after="0" w:line="240" w:lineRule="auto"/>
            </w:pPr>
            <w:r>
              <w:rPr>
                <w:sz w:val="16"/>
              </w:rPr>
              <w:t>Data preparation</w:t>
            </w:r>
          </w:p>
        </w:tc>
        <w:tc>
          <w:tcPr>
            <w:tcW w:w="3408" w:type="dxa"/>
            <w:vAlign w:val="center"/>
          </w:tcPr>
          <w:p w14:paraId="2F122C1A">
            <w:pPr>
              <w:spacing w:after="0" w:line="240" w:lineRule="auto"/>
            </w:pPr>
            <w:r>
              <w:rPr>
                <w:sz w:val="16"/>
              </w:rPr>
              <w:t>Missing values in reminder channel, distance and waiting time.</w:t>
            </w:r>
          </w:p>
        </w:tc>
        <w:tc>
          <w:tcPr>
            <w:tcW w:w="3408" w:type="dxa"/>
            <w:vAlign w:val="center"/>
          </w:tcPr>
          <w:p w14:paraId="4DC0C3F8">
            <w:pPr>
              <w:spacing w:after="0" w:line="240" w:lineRule="auto"/>
            </w:pPr>
            <w:r>
              <w:rPr>
                <w:sz w:val="16"/>
              </w:rPr>
              <w:t>Retained appropriate missing values; no rows deleted.</w:t>
            </w:r>
          </w:p>
        </w:tc>
      </w:tr>
      <w:tr w14:paraId="6D4DF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96234F3">
            <w:pPr>
              <w:spacing w:after="0" w:line="240" w:lineRule="auto"/>
            </w:pPr>
            <w:r>
              <w:rPr>
                <w:sz w:val="16"/>
              </w:rPr>
              <w:t>Reminder channel</w:t>
            </w:r>
          </w:p>
        </w:tc>
        <w:tc>
          <w:tcPr>
            <w:tcW w:w="3408" w:type="dxa"/>
            <w:vAlign w:val="center"/>
          </w:tcPr>
          <w:p w14:paraId="68ED8285">
            <w:pPr>
              <w:spacing w:after="0" w:line="240" w:lineRule="auto"/>
            </w:pPr>
            <w:r>
              <w:rPr>
                <w:sz w:val="16"/>
              </w:rPr>
              <w:t>The category 'None' appeared in reminder_channel.</w:t>
            </w:r>
          </w:p>
        </w:tc>
        <w:tc>
          <w:tcPr>
            <w:tcW w:w="3408" w:type="dxa"/>
            <w:vAlign w:val="center"/>
          </w:tcPr>
          <w:p w14:paraId="3C34DC5C">
            <w:pPr>
              <w:spacing w:after="0" w:line="240" w:lineRule="auto"/>
            </w:pPr>
            <w:r>
              <w:rPr>
                <w:sz w:val="16"/>
              </w:rPr>
              <w:t>Retained as a valid category.</w:t>
            </w:r>
          </w:p>
        </w:tc>
      </w:tr>
      <w:tr w14:paraId="76B94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33FEA2A">
            <w:pPr>
              <w:spacing w:after="0" w:line="240" w:lineRule="auto"/>
            </w:pPr>
            <w:r>
              <w:rPr>
                <w:sz w:val="16"/>
              </w:rPr>
              <w:t>Duplicate checking</w:t>
            </w:r>
          </w:p>
        </w:tc>
        <w:tc>
          <w:tcPr>
            <w:tcW w:w="3408" w:type="dxa"/>
            <w:vAlign w:val="center"/>
          </w:tcPr>
          <w:p w14:paraId="07FA737C">
            <w:pPr>
              <w:spacing w:after="0" w:line="240" w:lineRule="auto"/>
            </w:pPr>
            <w:r>
              <w:rPr>
                <w:sz w:val="16"/>
              </w:rPr>
              <w:t>Temporary duplicate-check queries were created during validation.</w:t>
            </w:r>
          </w:p>
        </w:tc>
        <w:tc>
          <w:tcPr>
            <w:tcW w:w="3408" w:type="dxa"/>
            <w:vAlign w:val="center"/>
          </w:tcPr>
          <w:p w14:paraId="530FD023">
            <w:pPr>
              <w:spacing w:after="0" w:line="240" w:lineRule="auto"/>
            </w:pPr>
            <w:r>
              <w:rPr>
                <w:sz w:val="16"/>
              </w:rPr>
              <w:t>Temporary queries were removed; clean original query retained.</w:t>
            </w:r>
          </w:p>
        </w:tc>
      </w:tr>
      <w:tr w14:paraId="194A0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B7A78AF">
            <w:pPr>
              <w:spacing w:after="0" w:line="240" w:lineRule="auto"/>
            </w:pPr>
            <w:r>
              <w:rPr>
                <w:sz w:val="16"/>
              </w:rPr>
              <w:t>EDA scope</w:t>
            </w:r>
          </w:p>
        </w:tc>
        <w:tc>
          <w:tcPr>
            <w:tcW w:w="3408" w:type="dxa"/>
            <w:vAlign w:val="center"/>
          </w:tcPr>
          <w:p w14:paraId="228D8C65">
            <w:pPr>
              <w:spacing w:after="0" w:line="240" w:lineRule="auto"/>
            </w:pPr>
            <w:r>
              <w:rPr>
                <w:sz w:val="16"/>
              </w:rPr>
              <w:t>Many variables could be explored.</w:t>
            </w:r>
          </w:p>
        </w:tc>
        <w:tc>
          <w:tcPr>
            <w:tcW w:w="3408" w:type="dxa"/>
            <w:vAlign w:val="center"/>
          </w:tcPr>
          <w:p w14:paraId="115CBEAA">
            <w:pPr>
              <w:spacing w:after="0" w:line="240" w:lineRule="auto"/>
            </w:pPr>
            <w:r>
              <w:rPr>
                <w:sz w:val="16"/>
              </w:rPr>
              <w:t>Focused on Week 5 requirements and stopped after required EDA coverage.</w:t>
            </w:r>
          </w:p>
        </w:tc>
      </w:tr>
      <w:tr w14:paraId="72F4E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47D3306">
            <w:pPr>
              <w:spacing w:after="0" w:line="240" w:lineRule="auto"/>
            </w:pPr>
            <w:r>
              <w:rPr>
                <w:sz w:val="16"/>
              </w:rPr>
              <w:t>Dashboard</w:t>
            </w:r>
          </w:p>
        </w:tc>
        <w:tc>
          <w:tcPr>
            <w:tcW w:w="3408" w:type="dxa"/>
            <w:vAlign w:val="center"/>
          </w:tcPr>
          <w:p w14:paraId="38ECA4E5">
            <w:pPr>
              <w:spacing w:after="0" w:line="240" w:lineRule="auto"/>
            </w:pPr>
            <w:r>
              <w:rPr>
                <w:sz w:val="16"/>
              </w:rPr>
              <w:t>Detailed EDA page became crowded.</w:t>
            </w:r>
          </w:p>
        </w:tc>
        <w:tc>
          <w:tcPr>
            <w:tcW w:w="3408" w:type="dxa"/>
            <w:vAlign w:val="center"/>
          </w:tcPr>
          <w:p w14:paraId="1577C01F">
            <w:pPr>
              <w:spacing w:after="0" w:line="240" w:lineRule="auto"/>
            </w:pPr>
            <w:r>
              <w:rPr>
                <w:sz w:val="16"/>
              </w:rPr>
              <w:t>Created a separate Week 5 Dashboard page.</w:t>
            </w:r>
          </w:p>
        </w:tc>
      </w:tr>
      <w:tr w14:paraId="00B7E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55D66F2">
            <w:pPr>
              <w:spacing w:after="0" w:line="240" w:lineRule="auto"/>
            </w:pPr>
            <w:r>
              <w:rPr>
                <w:sz w:val="16"/>
              </w:rPr>
              <w:t>Interpretation</w:t>
            </w:r>
          </w:p>
        </w:tc>
        <w:tc>
          <w:tcPr>
            <w:tcW w:w="3408" w:type="dxa"/>
            <w:vAlign w:val="center"/>
          </w:tcPr>
          <w:p w14:paraId="724E3970">
            <w:pPr>
              <w:spacing w:after="0" w:line="240" w:lineRule="auto"/>
            </w:pPr>
            <w:r>
              <w:rPr>
                <w:sz w:val="16"/>
              </w:rPr>
              <w:t>Observed relationships could be mistaken for causal effects.</w:t>
            </w:r>
          </w:p>
        </w:tc>
        <w:tc>
          <w:tcPr>
            <w:tcW w:w="3408" w:type="dxa"/>
            <w:vAlign w:val="center"/>
          </w:tcPr>
          <w:p w14:paraId="052A1F6B">
            <w:pPr>
              <w:spacing w:after="0" w:line="240" w:lineRule="auto"/>
            </w:pPr>
            <w:r>
              <w:rPr>
                <w:sz w:val="16"/>
              </w:rPr>
              <w:t>Used association language and avoided causal claims.</w:t>
            </w:r>
          </w:p>
        </w:tc>
      </w:tr>
    </w:tbl>
    <w:p w14:paraId="44C5713D">
      <w:pPr>
        <w:spacing w:after="20"/>
      </w:pPr>
    </w:p>
    <w:p w14:paraId="70FD538C">
      <w:pPr>
        <w:pStyle w:val="2"/>
      </w:pPr>
      <w:r>
        <w:t>13. Limitations</w:t>
      </w:r>
    </w:p>
    <w:p w14:paraId="7B2CC0A2">
      <w:pPr>
        <w:pStyle w:val="23"/>
        <w:spacing w:after="40"/>
      </w:pPr>
      <w:r>
        <w:t>The dataset is fictional and anonymized, so findings are specific to the provided project data.</w:t>
      </w:r>
    </w:p>
    <w:p w14:paraId="7CAA5E2E">
      <w:pPr>
        <w:pStyle w:val="23"/>
        <w:spacing w:after="40"/>
      </w:pPr>
      <w:r>
        <w:t>The analysis is observational and identifies associations rather than causation.</w:t>
      </w:r>
    </w:p>
    <w:p w14:paraId="368F81FD">
      <w:pPr>
        <w:pStyle w:val="23"/>
        <w:spacing w:after="40"/>
      </w:pPr>
      <w:r>
        <w:t>Distance to clinic and waiting time contain missing values, limiting complete interpretation.</w:t>
      </w:r>
    </w:p>
    <w:p w14:paraId="2DB3A008">
      <w:pPr>
        <w:pStyle w:val="23"/>
        <w:spacing w:after="40"/>
      </w:pPr>
      <w:r>
        <w:t>The dataset may not contain every factor affecting attendance.</w:t>
      </w:r>
    </w:p>
    <w:p w14:paraId="5235959B">
      <w:pPr>
        <w:pStyle w:val="23"/>
        <w:spacing w:after="40"/>
      </w:pPr>
      <w:r>
        <w:t>Reminder Effectiveness measures attendance among reminder-sent appointments; it does not prove a causal improvement.</w:t>
      </w:r>
    </w:p>
    <w:p w14:paraId="53CAD42A">
      <w:pPr>
        <w:pStyle w:val="23"/>
        <w:spacing w:after="40"/>
      </w:pPr>
      <w:r>
        <w:t>Some subgroup differences are relatively small and should not be over-interpreted.</w:t>
      </w:r>
    </w:p>
    <w:p w14:paraId="6E4EE9D7">
      <w:pPr>
        <w:pStyle w:val="23"/>
        <w:spacing w:after="40"/>
      </w:pPr>
      <w:r>
        <w:t>Further analysis may be required before implementing major interventions.</w:t>
      </w:r>
    </w:p>
    <w:p w14:paraId="558C4647">
      <w:pPr>
        <w:pStyle w:val="2"/>
      </w:pPr>
      <w:r>
        <w:t>14. Remaining Work and Week 6 Focus</w:t>
      </w:r>
    </w:p>
    <w:p w14:paraId="5D7743EF">
      <w:r>
        <w:t>Week 5 was intentionally focused on analysis, KPI development and initial dashboard implementation. It does not represent the complete HealthConnect solution.</w:t>
      </w:r>
    </w:p>
    <w:p w14:paraId="36655A08">
      <w:pPr>
        <w:pStyle w:val="23"/>
        <w:spacing w:after="40"/>
      </w:pPr>
      <w:r>
        <w:t>Use the Week 5 findings as an evidence base for the next project stage.</w:t>
      </w:r>
    </w:p>
    <w:p w14:paraId="46E3CA65">
      <w:pPr>
        <w:pStyle w:val="23"/>
        <w:spacing w:after="40"/>
      </w:pPr>
      <w:r>
        <w:t>Further investigate the strongest no-show patterns, especially previous no-shows and booking lead time.</w:t>
      </w:r>
    </w:p>
    <w:p w14:paraId="78C30E00">
      <w:pPr>
        <w:pStyle w:val="23"/>
        <w:spacing w:after="40"/>
      </w:pPr>
      <w:r>
        <w:t>Support cross-track work by providing validated analytical findings and relevant variables.</w:t>
      </w:r>
    </w:p>
    <w:p w14:paraId="64B58D54">
      <w:pPr>
        <w:pStyle w:val="23"/>
        <w:spacing w:after="40"/>
      </w:pPr>
      <w:r>
        <w:t>Refine the analytical dashboard if additional requirements are introduced.</w:t>
      </w:r>
    </w:p>
    <w:p w14:paraId="1BD042AE">
      <w:pPr>
        <w:pStyle w:val="23"/>
        <w:spacing w:after="40"/>
      </w:pPr>
      <w:r>
        <w:t>Continue monitoring data quality and document any changes to definitions or assumptions.</w:t>
      </w:r>
    </w:p>
    <w:p w14:paraId="1E347065">
      <w:pPr>
        <w:pStyle w:val="23"/>
        <w:spacing w:after="40"/>
      </w:pPr>
      <w:r>
        <w:t>Support later predictive or AI-related work without assuming that Week 5 associations are causal.</w:t>
      </w:r>
    </w:p>
    <w:p w14:paraId="24F9BE46">
      <w:pPr>
        <w:pStyle w:val="2"/>
      </w:pPr>
      <w:r>
        <w:t>15. Conclusion</w:t>
      </w:r>
    </w:p>
    <w:p w14:paraId="7DF26284">
      <w:r>
        <w:t>Week 5 successfully moved the HealthConnect Data Analytics work from planning into practical implementation. The dataset was validated, five KPIs were calculated, exploratory analysis was completed across relevant appointment and patient variables, and an initial Power BI dashboard was developed.</w:t>
      </w:r>
    </w:p>
    <w:p w14:paraId="63E908C1">
      <w:r>
        <w:t>The clearest analytical signals were the relationship between longer booking lead time and higher no-show rates, and the relationship between previous no-show history and future no-show rates. Reminder-sent appointments also showed better observed attendance than appointments without reminders. These findings provide HealthConnect with specific areas to investigate further while maintaining appropriate caution about causality.</w:t>
      </w:r>
    </w:p>
    <w:p w14:paraId="22077AC9">
      <w:r>
        <w:t>The Week 5 output therefore provides a practical analytical foundation for the next stage of the HealthConnect project without treating the current analysis as the final solution.</w:t>
      </w:r>
    </w:p>
    <w:p w14:paraId="7E7A5DD3">
      <w:r>
        <w:br w:type="page"/>
      </w:r>
    </w:p>
    <w:p w14:paraId="084781E8">
      <w:pPr>
        <w:pStyle w:val="2"/>
      </w:pPr>
      <w:r>
        <w:t>Appendix A – Power BI Analytical Fields Created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7698A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tcPr>
          <w:p w14:paraId="3A9BB051">
            <w:pPr>
              <w:spacing w:after="0" w:line="240" w:lineRule="auto"/>
            </w:pPr>
            <w:r>
              <w:rPr>
                <w:b/>
                <w:sz w:val="16"/>
              </w:rPr>
              <w:t>Field</w:t>
            </w:r>
          </w:p>
        </w:tc>
        <w:tc>
          <w:tcPr>
            <w:tcW w:w="3408" w:type="dxa"/>
            <w:shd w:val="clear" w:color="auto" w:fill="D9EAF7"/>
          </w:tcPr>
          <w:p w14:paraId="02962D18">
            <w:pPr>
              <w:spacing w:after="0" w:line="240" w:lineRule="auto"/>
            </w:pPr>
            <w:r>
              <w:rPr>
                <w:b/>
                <w:sz w:val="16"/>
              </w:rPr>
              <w:t>Type</w:t>
            </w:r>
          </w:p>
        </w:tc>
        <w:tc>
          <w:tcPr>
            <w:tcW w:w="3408" w:type="dxa"/>
            <w:shd w:val="clear" w:color="auto" w:fill="D9EAF7"/>
          </w:tcPr>
          <w:p w14:paraId="7F8CB5CC">
            <w:pPr>
              <w:spacing w:after="0" w:line="240" w:lineRule="auto"/>
            </w:pPr>
            <w:r>
              <w:rPr>
                <w:b/>
                <w:sz w:val="16"/>
              </w:rPr>
              <w:t>Purpose</w:t>
            </w:r>
          </w:p>
        </w:tc>
      </w:tr>
      <w:tr w14:paraId="39FF5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27AC99A">
            <w:pPr>
              <w:spacing w:after="0" w:line="240" w:lineRule="auto"/>
            </w:pPr>
            <w:r>
              <w:rPr>
                <w:sz w:val="16"/>
              </w:rPr>
              <w:t>booking_lead_group</w:t>
            </w:r>
          </w:p>
        </w:tc>
        <w:tc>
          <w:tcPr>
            <w:tcW w:w="3408" w:type="dxa"/>
            <w:vAlign w:val="center"/>
          </w:tcPr>
          <w:p w14:paraId="290703FD">
            <w:pPr>
              <w:spacing w:after="0" w:line="240" w:lineRule="auto"/>
            </w:pPr>
            <w:r>
              <w:rPr>
                <w:sz w:val="16"/>
              </w:rPr>
              <w:t>Calculated Column</w:t>
            </w:r>
          </w:p>
        </w:tc>
        <w:tc>
          <w:tcPr>
            <w:tcW w:w="3408" w:type="dxa"/>
            <w:vAlign w:val="center"/>
          </w:tcPr>
          <w:p w14:paraId="4EE49AF7">
            <w:pPr>
              <w:spacing w:after="0" w:line="240" w:lineRule="auto"/>
            </w:pPr>
            <w:r>
              <w:rPr>
                <w:sz w:val="16"/>
              </w:rPr>
              <w:t>Groups booking lead time into 0–7, 8–14, 15–30, 31–45 and 46–60 days.</w:t>
            </w:r>
          </w:p>
        </w:tc>
      </w:tr>
      <w:tr w14:paraId="22587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91147A5">
            <w:pPr>
              <w:spacing w:after="0" w:line="240" w:lineRule="auto"/>
            </w:pPr>
            <w:r>
              <w:rPr>
                <w:sz w:val="16"/>
              </w:rPr>
              <w:t>Previous No-Show Group</w:t>
            </w:r>
          </w:p>
        </w:tc>
        <w:tc>
          <w:tcPr>
            <w:tcW w:w="3408" w:type="dxa"/>
            <w:vAlign w:val="center"/>
          </w:tcPr>
          <w:p w14:paraId="02ED738C">
            <w:pPr>
              <w:spacing w:after="0" w:line="240" w:lineRule="auto"/>
            </w:pPr>
            <w:r>
              <w:rPr>
                <w:sz w:val="16"/>
              </w:rPr>
              <w:t>Calculated Column</w:t>
            </w:r>
          </w:p>
        </w:tc>
        <w:tc>
          <w:tcPr>
            <w:tcW w:w="3408" w:type="dxa"/>
            <w:vAlign w:val="center"/>
          </w:tcPr>
          <w:p w14:paraId="4DE4C508">
            <w:pPr>
              <w:spacing w:after="0" w:line="240" w:lineRule="auto"/>
            </w:pPr>
            <w:r>
              <w:rPr>
                <w:sz w:val="16"/>
              </w:rPr>
              <w:t>Groups previous no-shows into 0, 1, 2 and 3+.</w:t>
            </w:r>
          </w:p>
        </w:tc>
      </w:tr>
      <w:tr w14:paraId="1FD9C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50FAD0B">
            <w:pPr>
              <w:spacing w:after="0" w:line="240" w:lineRule="auto"/>
            </w:pPr>
            <w:r>
              <w:rPr>
                <w:sz w:val="16"/>
              </w:rPr>
              <w:t>Distance Group</w:t>
            </w:r>
          </w:p>
        </w:tc>
        <w:tc>
          <w:tcPr>
            <w:tcW w:w="3408" w:type="dxa"/>
            <w:vAlign w:val="center"/>
          </w:tcPr>
          <w:p w14:paraId="71396B87">
            <w:pPr>
              <w:spacing w:after="0" w:line="240" w:lineRule="auto"/>
            </w:pPr>
            <w:r>
              <w:rPr>
                <w:sz w:val="16"/>
              </w:rPr>
              <w:t>Group/Bin</w:t>
            </w:r>
          </w:p>
        </w:tc>
        <w:tc>
          <w:tcPr>
            <w:tcW w:w="3408" w:type="dxa"/>
            <w:vAlign w:val="center"/>
          </w:tcPr>
          <w:p w14:paraId="331FCEA0">
            <w:pPr>
              <w:spacing w:after="0" w:line="240" w:lineRule="auto"/>
            </w:pPr>
            <w:r>
              <w:rPr>
                <w:sz w:val="16"/>
              </w:rPr>
              <w:t>Groups distance to clinic for comparative analysis.</w:t>
            </w:r>
          </w:p>
        </w:tc>
      </w:tr>
      <w:tr w14:paraId="46B62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08FA68F">
            <w:pPr>
              <w:spacing w:after="0" w:line="240" w:lineRule="auto"/>
            </w:pPr>
            <w:r>
              <w:rPr>
                <w:sz w:val="16"/>
              </w:rPr>
              <w:t>No-Show Rate</w:t>
            </w:r>
          </w:p>
        </w:tc>
        <w:tc>
          <w:tcPr>
            <w:tcW w:w="3408" w:type="dxa"/>
            <w:vAlign w:val="center"/>
          </w:tcPr>
          <w:p w14:paraId="18EF244C">
            <w:pPr>
              <w:spacing w:after="0" w:line="240" w:lineRule="auto"/>
            </w:pPr>
            <w:r>
              <w:rPr>
                <w:sz w:val="16"/>
              </w:rPr>
              <w:t>DAX Measure</w:t>
            </w:r>
          </w:p>
        </w:tc>
        <w:tc>
          <w:tcPr>
            <w:tcW w:w="3408" w:type="dxa"/>
            <w:vAlign w:val="center"/>
          </w:tcPr>
          <w:p w14:paraId="6A58DDF4">
            <w:pPr>
              <w:spacing w:after="0" w:line="240" w:lineRule="auto"/>
            </w:pPr>
            <w:r>
              <w:rPr>
                <w:sz w:val="16"/>
              </w:rPr>
              <w:t>Calculates overall/contextual no-show rate.</w:t>
            </w:r>
          </w:p>
        </w:tc>
      </w:tr>
      <w:tr w14:paraId="2BE9D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BDD5C09">
            <w:pPr>
              <w:spacing w:after="0" w:line="240" w:lineRule="auto"/>
            </w:pPr>
            <w:r>
              <w:rPr>
                <w:sz w:val="16"/>
              </w:rPr>
              <w:t>Attendance Rate</w:t>
            </w:r>
          </w:p>
        </w:tc>
        <w:tc>
          <w:tcPr>
            <w:tcW w:w="3408" w:type="dxa"/>
            <w:vAlign w:val="center"/>
          </w:tcPr>
          <w:p w14:paraId="1D7C2AD1">
            <w:pPr>
              <w:spacing w:after="0" w:line="240" w:lineRule="auto"/>
            </w:pPr>
            <w:r>
              <w:rPr>
                <w:sz w:val="16"/>
              </w:rPr>
              <w:t>DAX Measure</w:t>
            </w:r>
          </w:p>
        </w:tc>
        <w:tc>
          <w:tcPr>
            <w:tcW w:w="3408" w:type="dxa"/>
            <w:vAlign w:val="center"/>
          </w:tcPr>
          <w:p w14:paraId="21D03AF8">
            <w:pPr>
              <w:spacing w:after="0" w:line="240" w:lineRule="auto"/>
            </w:pPr>
            <w:r>
              <w:rPr>
                <w:sz w:val="16"/>
              </w:rPr>
              <w:t>Calculates overall/contextual attendance rate.</w:t>
            </w:r>
          </w:p>
        </w:tc>
      </w:tr>
      <w:tr w14:paraId="77203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723BB5B">
            <w:pPr>
              <w:spacing w:after="0" w:line="240" w:lineRule="auto"/>
            </w:pPr>
            <w:r>
              <w:rPr>
                <w:sz w:val="16"/>
              </w:rPr>
              <w:t>Cancellation Rate</w:t>
            </w:r>
          </w:p>
        </w:tc>
        <w:tc>
          <w:tcPr>
            <w:tcW w:w="3408" w:type="dxa"/>
            <w:vAlign w:val="center"/>
          </w:tcPr>
          <w:p w14:paraId="28834B3B">
            <w:pPr>
              <w:spacing w:after="0" w:line="240" w:lineRule="auto"/>
            </w:pPr>
            <w:r>
              <w:rPr>
                <w:sz w:val="16"/>
              </w:rPr>
              <w:t>DAX Measure</w:t>
            </w:r>
          </w:p>
        </w:tc>
        <w:tc>
          <w:tcPr>
            <w:tcW w:w="3408" w:type="dxa"/>
            <w:vAlign w:val="center"/>
          </w:tcPr>
          <w:p w14:paraId="2492F594">
            <w:pPr>
              <w:spacing w:after="0" w:line="240" w:lineRule="auto"/>
            </w:pPr>
            <w:r>
              <w:rPr>
                <w:sz w:val="16"/>
              </w:rPr>
              <w:t>Calculates overall/contextual cancellation rate.</w:t>
            </w:r>
          </w:p>
        </w:tc>
      </w:tr>
      <w:tr w14:paraId="4D69E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261905A">
            <w:pPr>
              <w:spacing w:after="0" w:line="240" w:lineRule="auto"/>
            </w:pPr>
            <w:r>
              <w:rPr>
                <w:sz w:val="16"/>
              </w:rPr>
              <w:t>Average Booking Lead Time</w:t>
            </w:r>
          </w:p>
        </w:tc>
        <w:tc>
          <w:tcPr>
            <w:tcW w:w="3408" w:type="dxa"/>
            <w:vAlign w:val="center"/>
          </w:tcPr>
          <w:p w14:paraId="62801C9E">
            <w:pPr>
              <w:spacing w:after="0" w:line="240" w:lineRule="auto"/>
            </w:pPr>
            <w:r>
              <w:rPr>
                <w:sz w:val="16"/>
              </w:rPr>
              <w:t>DAX Measure</w:t>
            </w:r>
          </w:p>
        </w:tc>
        <w:tc>
          <w:tcPr>
            <w:tcW w:w="3408" w:type="dxa"/>
            <w:vAlign w:val="center"/>
          </w:tcPr>
          <w:p w14:paraId="3E0A54F4">
            <w:pPr>
              <w:spacing w:after="0" w:line="240" w:lineRule="auto"/>
            </w:pPr>
            <w:r>
              <w:rPr>
                <w:sz w:val="16"/>
              </w:rPr>
              <w:t>Calculates average booking lead time.</w:t>
            </w:r>
          </w:p>
        </w:tc>
      </w:tr>
      <w:tr w14:paraId="64ED5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E5A20A8">
            <w:pPr>
              <w:spacing w:after="0" w:line="240" w:lineRule="auto"/>
            </w:pPr>
            <w:r>
              <w:rPr>
                <w:sz w:val="16"/>
              </w:rPr>
              <w:t>Reminder Effectiveness</w:t>
            </w:r>
          </w:p>
        </w:tc>
        <w:tc>
          <w:tcPr>
            <w:tcW w:w="3408" w:type="dxa"/>
            <w:vAlign w:val="center"/>
          </w:tcPr>
          <w:p w14:paraId="3A4210BD">
            <w:pPr>
              <w:spacing w:after="0" w:line="240" w:lineRule="auto"/>
            </w:pPr>
            <w:r>
              <w:rPr>
                <w:sz w:val="16"/>
              </w:rPr>
              <w:t>DAX Measure</w:t>
            </w:r>
          </w:p>
        </w:tc>
        <w:tc>
          <w:tcPr>
            <w:tcW w:w="3408" w:type="dxa"/>
            <w:vAlign w:val="center"/>
          </w:tcPr>
          <w:p w14:paraId="065D07E7">
            <w:pPr>
              <w:spacing w:after="0" w:line="240" w:lineRule="auto"/>
            </w:pPr>
            <w:r>
              <w:rPr>
                <w:sz w:val="16"/>
              </w:rPr>
              <w:t>Calculates attendance rate among appointments with reminders sent.</w:t>
            </w:r>
          </w:p>
        </w:tc>
      </w:tr>
    </w:tbl>
    <w:p w14:paraId="3A477477">
      <w:pPr>
        <w:spacing w:after="20"/>
      </w:pPr>
    </w:p>
    <w:p w14:paraId="6E0E522F">
      <w:pPr>
        <w:pStyle w:val="2"/>
      </w:pPr>
      <w:r>
        <w:t>Appendix B – Week 5 Completion Checklist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74B5E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tcPr>
          <w:p w14:paraId="7B686B23">
            <w:pPr>
              <w:spacing w:after="0" w:line="240" w:lineRule="auto"/>
            </w:pPr>
            <w:r>
              <w:rPr>
                <w:b/>
                <w:sz w:val="17"/>
              </w:rPr>
              <w:t>Week 5 Requirement</w:t>
            </w:r>
          </w:p>
        </w:tc>
        <w:tc>
          <w:tcPr>
            <w:tcW w:w="5112" w:type="dxa"/>
            <w:shd w:val="clear" w:color="auto" w:fill="D9EAF7"/>
          </w:tcPr>
          <w:p w14:paraId="0F97B38C">
            <w:pPr>
              <w:spacing w:after="0" w:line="240" w:lineRule="auto"/>
            </w:pPr>
            <w:r>
              <w:rPr>
                <w:b/>
                <w:sz w:val="17"/>
              </w:rPr>
              <w:t>Status</w:t>
            </w:r>
          </w:p>
        </w:tc>
      </w:tr>
      <w:tr w14:paraId="68E83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FBC7C2C">
            <w:pPr>
              <w:spacing w:after="0" w:line="240" w:lineRule="auto"/>
            </w:pPr>
            <w:r>
              <w:rPr>
                <w:sz w:val="17"/>
              </w:rPr>
              <w:t>Review Week 4 foundation</w:t>
            </w:r>
          </w:p>
        </w:tc>
        <w:tc>
          <w:tcPr>
            <w:tcW w:w="5112" w:type="dxa"/>
            <w:vAlign w:val="center"/>
          </w:tcPr>
          <w:p w14:paraId="51E32EF9">
            <w:pPr>
              <w:spacing w:after="0" w:line="240" w:lineRule="auto"/>
            </w:pPr>
            <w:r>
              <w:rPr>
                <w:sz w:val="17"/>
              </w:rPr>
              <w:t>Completed</w:t>
            </w:r>
          </w:p>
        </w:tc>
      </w:tr>
      <w:tr w14:paraId="15E17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11292EE">
            <w:pPr>
              <w:spacing w:after="0" w:line="240" w:lineRule="auto"/>
            </w:pPr>
            <w:r>
              <w:rPr>
                <w:sz w:val="17"/>
              </w:rPr>
              <w:t>Data preparation and quality checks</w:t>
            </w:r>
          </w:p>
        </w:tc>
        <w:tc>
          <w:tcPr>
            <w:tcW w:w="5112" w:type="dxa"/>
            <w:vAlign w:val="center"/>
          </w:tcPr>
          <w:p w14:paraId="6D52ECF8">
            <w:pPr>
              <w:spacing w:after="0" w:line="240" w:lineRule="auto"/>
            </w:pPr>
            <w:r>
              <w:rPr>
                <w:sz w:val="17"/>
              </w:rPr>
              <w:t>Completed</w:t>
            </w:r>
          </w:p>
        </w:tc>
      </w:tr>
      <w:tr w14:paraId="216A1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543112E">
            <w:pPr>
              <w:spacing w:after="0" w:line="240" w:lineRule="auto"/>
            </w:pPr>
            <w:r>
              <w:rPr>
                <w:sz w:val="17"/>
              </w:rPr>
              <w:t>Exploratory data analysis</w:t>
            </w:r>
          </w:p>
        </w:tc>
        <w:tc>
          <w:tcPr>
            <w:tcW w:w="5112" w:type="dxa"/>
            <w:vAlign w:val="center"/>
          </w:tcPr>
          <w:p w14:paraId="6D192853">
            <w:pPr>
              <w:spacing w:after="0" w:line="240" w:lineRule="auto"/>
            </w:pPr>
            <w:r>
              <w:rPr>
                <w:sz w:val="17"/>
              </w:rPr>
              <w:t>Completed</w:t>
            </w:r>
          </w:p>
        </w:tc>
      </w:tr>
      <w:tr w14:paraId="7811C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EAE6A4A">
            <w:pPr>
              <w:spacing w:after="0" w:line="240" w:lineRule="auto"/>
            </w:pPr>
            <w:r>
              <w:rPr>
                <w:sz w:val="17"/>
              </w:rPr>
              <w:t>KPI development: 3–5 KPIs</w:t>
            </w:r>
          </w:p>
        </w:tc>
        <w:tc>
          <w:tcPr>
            <w:tcW w:w="5112" w:type="dxa"/>
            <w:vAlign w:val="center"/>
          </w:tcPr>
          <w:p w14:paraId="2054E97C">
            <w:pPr>
              <w:spacing w:after="0" w:line="240" w:lineRule="auto"/>
            </w:pPr>
            <w:r>
              <w:rPr>
                <w:sz w:val="17"/>
              </w:rPr>
              <w:t>Completed – 5 KPIs</w:t>
            </w:r>
          </w:p>
        </w:tc>
      </w:tr>
      <w:tr w14:paraId="158E5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644850D">
            <w:pPr>
              <w:spacing w:after="0" w:line="240" w:lineRule="auto"/>
            </w:pPr>
            <w:r>
              <w:rPr>
                <w:sz w:val="17"/>
              </w:rPr>
              <w:t>Initial dashboard / visual report</w:t>
            </w:r>
          </w:p>
        </w:tc>
        <w:tc>
          <w:tcPr>
            <w:tcW w:w="5112" w:type="dxa"/>
            <w:vAlign w:val="center"/>
          </w:tcPr>
          <w:p w14:paraId="3C93429E">
            <w:pPr>
              <w:spacing w:after="0" w:line="240" w:lineRule="auto"/>
            </w:pPr>
            <w:r>
              <w:rPr>
                <w:sz w:val="17"/>
              </w:rPr>
              <w:t>Completed</w:t>
            </w:r>
          </w:p>
        </w:tc>
      </w:tr>
      <w:tr w14:paraId="63FEA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6B12654">
            <w:pPr>
              <w:spacing w:after="0" w:line="240" w:lineRule="auto"/>
            </w:pPr>
            <w:r>
              <w:rPr>
                <w:sz w:val="17"/>
              </w:rPr>
              <w:t>At least 5 business insights</w:t>
            </w:r>
          </w:p>
        </w:tc>
        <w:tc>
          <w:tcPr>
            <w:tcW w:w="5112" w:type="dxa"/>
            <w:vAlign w:val="center"/>
          </w:tcPr>
          <w:p w14:paraId="0A73009B">
            <w:pPr>
              <w:spacing w:after="0" w:line="240" w:lineRule="auto"/>
            </w:pPr>
            <w:r>
              <w:rPr>
                <w:sz w:val="17"/>
              </w:rPr>
              <w:t>Completed – 8 findings</w:t>
            </w:r>
          </w:p>
        </w:tc>
      </w:tr>
      <w:tr w14:paraId="0B464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DDFE198">
            <w:pPr>
              <w:spacing w:after="0" w:line="240" w:lineRule="auto"/>
            </w:pPr>
            <w:r>
              <w:rPr>
                <w:sz w:val="17"/>
              </w:rPr>
              <w:t>Business recommendations</w:t>
            </w:r>
          </w:p>
        </w:tc>
        <w:tc>
          <w:tcPr>
            <w:tcW w:w="5112" w:type="dxa"/>
            <w:vAlign w:val="center"/>
          </w:tcPr>
          <w:p w14:paraId="524EA1B6">
            <w:pPr>
              <w:spacing w:after="0" w:line="240" w:lineRule="auto"/>
            </w:pPr>
            <w:r>
              <w:rPr>
                <w:sz w:val="17"/>
              </w:rPr>
              <w:t>Completed</w:t>
            </w:r>
          </w:p>
        </w:tc>
      </w:tr>
      <w:tr w14:paraId="44624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0D4723F">
            <w:pPr>
              <w:spacing w:after="0" w:line="240" w:lineRule="auto"/>
            </w:pPr>
            <w:r>
              <w:rPr>
                <w:sz w:val="17"/>
              </w:rPr>
              <w:t>Limitations</w:t>
            </w:r>
          </w:p>
        </w:tc>
        <w:tc>
          <w:tcPr>
            <w:tcW w:w="5112" w:type="dxa"/>
            <w:vAlign w:val="center"/>
          </w:tcPr>
          <w:p w14:paraId="53B51037">
            <w:pPr>
              <w:spacing w:after="0" w:line="240" w:lineRule="auto"/>
            </w:pPr>
            <w:r>
              <w:rPr>
                <w:sz w:val="17"/>
              </w:rPr>
              <w:t>Completed</w:t>
            </w:r>
          </w:p>
        </w:tc>
      </w:tr>
      <w:tr w14:paraId="3D802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F66EB3E">
            <w:pPr>
              <w:spacing w:after="0" w:line="240" w:lineRule="auto"/>
            </w:pPr>
            <w:r>
              <w:rPr>
                <w:sz w:val="17"/>
              </w:rPr>
              <w:t>Challenges and decisions documented</w:t>
            </w:r>
          </w:p>
        </w:tc>
        <w:tc>
          <w:tcPr>
            <w:tcW w:w="5112" w:type="dxa"/>
            <w:vAlign w:val="center"/>
          </w:tcPr>
          <w:p w14:paraId="41B6D32F">
            <w:pPr>
              <w:spacing w:after="0" w:line="240" w:lineRule="auto"/>
            </w:pPr>
            <w:r>
              <w:rPr>
                <w:sz w:val="17"/>
              </w:rPr>
              <w:t>Completed</w:t>
            </w:r>
          </w:p>
        </w:tc>
      </w:tr>
      <w:tr w14:paraId="1CF0F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81FAEE9">
            <w:pPr>
              <w:spacing w:after="0" w:line="240" w:lineRule="auto"/>
            </w:pPr>
            <w:r>
              <w:rPr>
                <w:sz w:val="17"/>
              </w:rPr>
              <w:t>Week 6 focus identified</w:t>
            </w:r>
          </w:p>
        </w:tc>
        <w:tc>
          <w:tcPr>
            <w:tcW w:w="5112" w:type="dxa"/>
            <w:vAlign w:val="center"/>
          </w:tcPr>
          <w:p w14:paraId="292640A2">
            <w:pPr>
              <w:spacing w:after="0" w:line="240" w:lineRule="auto"/>
            </w:pPr>
            <w:r>
              <w:rPr>
                <w:sz w:val="17"/>
              </w:rPr>
              <w:t>Completed</w:t>
            </w:r>
          </w:p>
        </w:tc>
      </w:tr>
    </w:tbl>
    <w:p w14:paraId="76ECA7BC">
      <w:pPr>
        <w:spacing w:after="20"/>
      </w:pPr>
    </w:p>
    <w:sectPr>
      <w:headerReference r:id="rId5" w:type="default"/>
      <w:footerReference r:id="rId6" w:type="default"/>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644127">
    <w:pPr>
      <w:pStyle w:val="18"/>
      <w:jc w:val="center"/>
    </w:pPr>
    <w:r>
      <w:t>AnalystLab Africa Experience Lab • Week 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5ED298">
    <w:pPr>
      <w:pStyle w:val="19"/>
      <w:jc w:val="right"/>
    </w:pPr>
    <w:r>
      <w:t>HealthConnect Clinic | Week 5 Data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EC64E36"/>
    <w:rsid w:val="4405442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2882</Words>
  <Characters>18508</Characters>
  <Lines>0</Lines>
  <Paragraphs>0</Paragraphs>
  <TotalTime>0</TotalTime>
  <ScaleCrop>false</ScaleCrop>
  <LinksUpToDate>false</LinksUpToDate>
  <CharactersWithSpaces>21018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Esther Mgbemena</cp:lastModifiedBy>
  <dcterms:modified xsi:type="dcterms:W3CDTF">2026-09-06T22:29:43Z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F1678AF8A3FC46F98787853B38989B79_13</vt:lpwstr>
  </property>
</Properties>
</file>