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4BF" w:rsidRDefault="0003623A" w:rsidP="006654BF">
      <w:pPr>
        <w:autoSpaceDE w:val="0"/>
        <w:autoSpaceDN w:val="0"/>
        <w:adjustRightInd w:val="0"/>
        <w:spacing w:after="0" w:line="240" w:lineRule="auto"/>
        <w:rPr>
          <w:sz w:val="28"/>
          <w:u w:val="single"/>
        </w:rPr>
      </w:pPr>
      <w:r w:rsidRPr="0003623A">
        <w:rPr>
          <w:sz w:val="28"/>
          <w:u w:val="single"/>
        </w:rPr>
        <w:t>Brand vs. Calories</w:t>
      </w:r>
    </w:p>
    <w:p w:rsidR="00BA3EFD" w:rsidRPr="006654BF" w:rsidRDefault="00BA3EFD" w:rsidP="006654BF">
      <w:pPr>
        <w:autoSpaceDE w:val="0"/>
        <w:autoSpaceDN w:val="0"/>
        <w:adjustRightInd w:val="0"/>
        <w:spacing w:after="0" w:line="240" w:lineRule="auto"/>
        <w:rPr>
          <w:sz w:val="28"/>
          <w:u w:val="single"/>
        </w:rPr>
      </w:pPr>
    </w:p>
    <w:tbl>
      <w:tblPr>
        <w:tblW w:w="8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86"/>
        <w:gridCol w:w="1517"/>
        <w:gridCol w:w="1001"/>
        <w:gridCol w:w="1000"/>
        <w:gridCol w:w="1000"/>
        <w:gridCol w:w="1000"/>
        <w:gridCol w:w="1000"/>
        <w:gridCol w:w="1000"/>
      </w:tblGrid>
      <w:tr w:rsidR="006654BF" w:rsidRPr="006654BF" w:rsidTr="0003623A">
        <w:trPr>
          <w:cantSplit/>
          <w:jc w:val="center"/>
        </w:trPr>
        <w:tc>
          <w:tcPr>
            <w:tcW w:w="85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Normality</w:t>
            </w:r>
          </w:p>
        </w:tc>
      </w:tr>
      <w:tr w:rsidR="006654BF" w:rsidRPr="006654BF" w:rsidTr="0003623A">
        <w:trPr>
          <w:cantSplit/>
          <w:jc w:val="center"/>
        </w:trPr>
        <w:tc>
          <w:tcPr>
            <w:tcW w:w="985" w:type="dxa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Manufacturer</w:t>
            </w:r>
          </w:p>
        </w:tc>
        <w:tc>
          <w:tcPr>
            <w:tcW w:w="3000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6654B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000" w:type="dxa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Shapiro-</w:t>
            </w: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Wilk</w:t>
            </w:r>
            <w:proofErr w:type="spellEnd"/>
          </w:p>
        </w:tc>
      </w:tr>
      <w:tr w:rsidR="006654BF" w:rsidRPr="006654BF" w:rsidTr="0003623A">
        <w:trPr>
          <w:cantSplit/>
          <w:jc w:val="center"/>
        </w:trPr>
        <w:tc>
          <w:tcPr>
            <w:tcW w:w="985" w:type="dxa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6654BF" w:rsidRPr="006654BF" w:rsidTr="0003623A">
        <w:trPr>
          <w:cantSplit/>
          <w:jc w:val="center"/>
        </w:trPr>
        <w:tc>
          <w:tcPr>
            <w:tcW w:w="98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Calories</w:t>
            </w:r>
          </w:p>
        </w:tc>
        <w:tc>
          <w:tcPr>
            <w:tcW w:w="151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General Mills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.370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.765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6654BF" w:rsidRPr="006654BF" w:rsidTr="0003623A">
        <w:trPr>
          <w:cantSplit/>
          <w:jc w:val="center"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Kellogs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.219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.006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.899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.025</w:t>
            </w:r>
          </w:p>
        </w:tc>
      </w:tr>
      <w:tr w:rsidR="006654BF" w:rsidRPr="006654BF" w:rsidTr="0003623A">
        <w:trPr>
          <w:cantSplit/>
          <w:jc w:val="center"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Nabisco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.293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.117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.915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.473</w:t>
            </w:r>
          </w:p>
        </w:tc>
      </w:tr>
      <w:tr w:rsidR="006654BF" w:rsidRPr="006654BF" w:rsidTr="0003623A">
        <w:trPr>
          <w:cantSplit/>
          <w:jc w:val="center"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Post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.209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.200</w:t>
            </w:r>
            <w:r w:rsidRPr="006654BF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.889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.194</w:t>
            </w:r>
          </w:p>
        </w:tc>
      </w:tr>
      <w:tr w:rsidR="006654BF" w:rsidRPr="006654BF" w:rsidTr="0003623A">
        <w:trPr>
          <w:cantSplit/>
          <w:jc w:val="center"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Quaker Oats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.318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.017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.771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</w:tr>
      <w:tr w:rsidR="006654BF" w:rsidRPr="006654BF" w:rsidTr="0003623A">
        <w:trPr>
          <w:cantSplit/>
          <w:jc w:val="center"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Ralston Purina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.337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.806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.033</w:t>
            </w:r>
          </w:p>
        </w:tc>
      </w:tr>
      <w:tr w:rsidR="006654BF" w:rsidRPr="006654BF" w:rsidTr="0003623A">
        <w:trPr>
          <w:cantSplit/>
          <w:jc w:val="center"/>
        </w:trPr>
        <w:tc>
          <w:tcPr>
            <w:tcW w:w="85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*. This is a lower bound of the true significance.</w:t>
            </w:r>
          </w:p>
        </w:tc>
      </w:tr>
      <w:tr w:rsidR="006654BF" w:rsidRPr="006654BF" w:rsidTr="0003623A">
        <w:trPr>
          <w:cantSplit/>
          <w:jc w:val="center"/>
        </w:trPr>
        <w:tc>
          <w:tcPr>
            <w:tcW w:w="85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654BF" w:rsidRPr="006654BF" w:rsidRDefault="006654BF" w:rsidP="006654B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>Lilliefors</w:t>
            </w:r>
            <w:proofErr w:type="spellEnd"/>
            <w:r w:rsidRPr="006654BF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Significance Correction</w:t>
            </w:r>
          </w:p>
        </w:tc>
      </w:tr>
    </w:tbl>
    <w:p w:rsidR="006654BF" w:rsidRDefault="006654BF" w:rsidP="006654B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623A" w:rsidRDefault="006654BF" w:rsidP="0003623A">
      <w:pPr>
        <w:autoSpaceDE w:val="0"/>
        <w:autoSpaceDN w:val="0"/>
        <w:adjustRightInd w:val="0"/>
        <w:spacing w:after="0" w:line="360" w:lineRule="auto"/>
        <w:jc w:val="both"/>
      </w:pPr>
      <w:r>
        <w:t xml:space="preserve">Since both the </w:t>
      </w:r>
      <w:proofErr w:type="spellStart"/>
      <w:r>
        <w:t>Kolmogorov</w:t>
      </w:r>
      <w:proofErr w:type="spellEnd"/>
      <w:r>
        <w:t>-Smirnov test and the Shapiro-</w:t>
      </w:r>
      <w:proofErr w:type="spellStart"/>
      <w:r>
        <w:t>Wilk</w:t>
      </w:r>
      <w:proofErr w:type="spellEnd"/>
      <w:r>
        <w:t xml:space="preserve"> test</w:t>
      </w:r>
      <w:r w:rsidR="00977087">
        <w:t xml:space="preserve"> for all but two</w:t>
      </w:r>
      <w:r>
        <w:t xml:space="preserve"> </w:t>
      </w:r>
      <w:r w:rsidR="00977087">
        <w:t xml:space="preserve">of the manufacturers, ‘Nabisco’ and ‘Post’, </w:t>
      </w:r>
      <w:r>
        <w:t>gave out</w:t>
      </w:r>
      <w:r w:rsidR="00977087">
        <w:t xml:space="preserve"> </w:t>
      </w:r>
      <w:r>
        <w:t xml:space="preserve">a p-value (sig) of 0 &lt; 0.05, then the hypothesis that </w:t>
      </w:r>
      <w:r w:rsidR="00977087">
        <w:t>‘Calories’</w:t>
      </w:r>
      <w:r>
        <w:t xml:space="preserve"> follows a</w:t>
      </w:r>
      <w:r w:rsidR="00977087">
        <w:t xml:space="preserve"> </w:t>
      </w:r>
      <w:r>
        <w:t xml:space="preserve">normal distribution has to be rejected. </w:t>
      </w:r>
      <w:r w:rsidR="00977087">
        <w:t>‘Calories’</w:t>
      </w:r>
      <w:r>
        <w:t xml:space="preserve"> is thus not normally</w:t>
      </w:r>
      <w:r w:rsidR="00977087">
        <w:t xml:space="preserve"> </w:t>
      </w:r>
      <w:r>
        <w:t>distributed.</w:t>
      </w:r>
    </w:p>
    <w:p w:rsidR="0003623A" w:rsidRPr="0003623A" w:rsidRDefault="0003623A" w:rsidP="0003623A">
      <w:pPr>
        <w:autoSpaceDE w:val="0"/>
        <w:autoSpaceDN w:val="0"/>
        <w:adjustRightInd w:val="0"/>
        <w:spacing w:after="0" w:line="360" w:lineRule="auto"/>
        <w:jc w:val="both"/>
      </w:pPr>
    </w:p>
    <w:p w:rsidR="0003623A" w:rsidRDefault="0003623A" w:rsidP="0003623A">
      <w:pPr>
        <w:autoSpaceDE w:val="0"/>
        <w:autoSpaceDN w:val="0"/>
        <w:adjustRightInd w:val="0"/>
        <w:spacing w:after="0" w:line="360" w:lineRule="auto"/>
        <w:jc w:val="both"/>
      </w:pPr>
      <w:r w:rsidRPr="0003623A">
        <w:t xml:space="preserve">The following table presents the results for </w:t>
      </w:r>
      <w:proofErr w:type="spellStart"/>
      <w:r w:rsidRPr="0003623A">
        <w:t>Levene’s</w:t>
      </w:r>
      <w:proofErr w:type="spellEnd"/>
      <w:r w:rsidRPr="0003623A">
        <w:t xml:space="preserve"> tests. </w:t>
      </w:r>
      <w:proofErr w:type="spellStart"/>
      <w:r w:rsidRPr="0003623A">
        <w:t>Levene’s</w:t>
      </w:r>
      <w:proofErr w:type="spellEnd"/>
      <w:r w:rsidRPr="0003623A">
        <w:t xml:space="preserve"> test is</w:t>
      </w:r>
      <w:r>
        <w:t xml:space="preserve"> </w:t>
      </w:r>
      <w:r w:rsidRPr="0003623A">
        <w:t>used to check whether the assumption of equal variances is satisfied. In this</w:t>
      </w:r>
      <w:r>
        <w:t xml:space="preserve"> </w:t>
      </w:r>
      <w:r w:rsidRPr="0003623A">
        <w:t>case we have the following hypothesis:</w:t>
      </w:r>
    </w:p>
    <w:p w:rsidR="0003623A" w:rsidRPr="0003623A" w:rsidRDefault="0003623A" w:rsidP="0003623A">
      <w:pPr>
        <w:autoSpaceDE w:val="0"/>
        <w:autoSpaceDN w:val="0"/>
        <w:adjustRightInd w:val="0"/>
        <w:spacing w:after="0" w:line="360" w:lineRule="auto"/>
      </w:pPr>
    </w:p>
    <w:p w:rsidR="0003623A" w:rsidRPr="0003623A" w:rsidRDefault="0003623A" w:rsidP="00036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</w:pPr>
      <w:r w:rsidRPr="0003623A">
        <w:t>H</w:t>
      </w:r>
      <w:r w:rsidRPr="0003623A">
        <w:rPr>
          <w:vertAlign w:val="subscript"/>
        </w:rPr>
        <w:t>0</w:t>
      </w:r>
      <w:r w:rsidRPr="0003623A">
        <w:t xml:space="preserve">: The variances of the </w:t>
      </w:r>
      <w:r w:rsidR="007D15D1">
        <w:t>manufacturers</w:t>
      </w:r>
      <w:r w:rsidRPr="0003623A">
        <w:t xml:space="preserve"> from which the samples are extracted</w:t>
      </w:r>
      <w:r>
        <w:t xml:space="preserve"> </w:t>
      </w:r>
      <w:r w:rsidRPr="0003623A">
        <w:t>are equal.</w:t>
      </w:r>
    </w:p>
    <w:p w:rsidR="0003623A" w:rsidRDefault="0003623A" w:rsidP="00036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</w:pPr>
      <w:r w:rsidRPr="0003623A">
        <w:t>H</w:t>
      </w:r>
      <w:r w:rsidRPr="0003623A">
        <w:rPr>
          <w:vertAlign w:val="subscript"/>
        </w:rPr>
        <w:t>1</w:t>
      </w:r>
      <w:r w:rsidRPr="0003623A">
        <w:t xml:space="preserve">: The variances of the </w:t>
      </w:r>
      <w:r w:rsidR="007D15D1">
        <w:t>manufacturers</w:t>
      </w:r>
      <w:r w:rsidRPr="0003623A">
        <w:t xml:space="preserve"> from which the samples are extracted</w:t>
      </w:r>
      <w:r>
        <w:t xml:space="preserve"> </w:t>
      </w:r>
      <w:r w:rsidRPr="0003623A">
        <w:t>are not equal.</w:t>
      </w:r>
    </w:p>
    <w:p w:rsidR="0003623A" w:rsidRPr="00977087" w:rsidRDefault="0003623A" w:rsidP="0003623A">
      <w:pPr>
        <w:autoSpaceDE w:val="0"/>
        <w:autoSpaceDN w:val="0"/>
        <w:adjustRightInd w:val="0"/>
        <w:spacing w:after="0" w:line="360" w:lineRule="auto"/>
        <w:jc w:val="both"/>
      </w:pPr>
    </w:p>
    <w:tbl>
      <w:tblPr>
        <w:tblW w:w="453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81"/>
        <w:gridCol w:w="1017"/>
        <w:gridCol w:w="1017"/>
        <w:gridCol w:w="1017"/>
      </w:tblGrid>
      <w:tr w:rsidR="00977087" w:rsidRPr="00977087" w:rsidTr="0003623A">
        <w:trPr>
          <w:cantSplit/>
          <w:jc w:val="center"/>
        </w:trPr>
        <w:tc>
          <w:tcPr>
            <w:tcW w:w="4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 of Homogeneity of Variances</w:t>
            </w:r>
          </w:p>
        </w:tc>
      </w:tr>
      <w:tr w:rsidR="00977087" w:rsidRPr="00977087" w:rsidTr="0003623A">
        <w:trPr>
          <w:cantSplit/>
          <w:jc w:val="center"/>
        </w:trPr>
        <w:tc>
          <w:tcPr>
            <w:tcW w:w="4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Calories</w:t>
            </w:r>
          </w:p>
        </w:tc>
      </w:tr>
      <w:tr w:rsidR="00977087" w:rsidRPr="00977087" w:rsidTr="0003623A">
        <w:trPr>
          <w:cantSplit/>
          <w:jc w:val="center"/>
        </w:trPr>
        <w:tc>
          <w:tcPr>
            <w:tcW w:w="147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Levene</w:t>
            </w:r>
            <w:proofErr w:type="spellEnd"/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 xml:space="preserve"> Statistic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77087" w:rsidRPr="00977087" w:rsidTr="0003623A">
        <w:trPr>
          <w:cantSplit/>
          <w:jc w:val="center"/>
        </w:trPr>
        <w:tc>
          <w:tcPr>
            <w:tcW w:w="147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2.576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1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77087" w:rsidRPr="00977087" w:rsidRDefault="00977087" w:rsidP="0097708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77087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</w:tr>
    </w:tbl>
    <w:p w:rsidR="00977087" w:rsidRPr="00977087" w:rsidRDefault="00977087" w:rsidP="0097708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977087" w:rsidRDefault="00977087" w:rsidP="0003623A">
      <w:pPr>
        <w:spacing w:line="360" w:lineRule="auto"/>
        <w:jc w:val="both"/>
      </w:pPr>
      <w:r>
        <w:t>Since the p-value is 0.</w:t>
      </w:r>
      <w:r w:rsidR="0003623A">
        <w:t>034</w:t>
      </w:r>
      <w:r>
        <w:t xml:space="preserve">, which is </w:t>
      </w:r>
      <w:r w:rsidR="0003623A">
        <w:t>less</w:t>
      </w:r>
      <w:r>
        <w:t xml:space="preserve"> than 0.05, then we reject</w:t>
      </w:r>
      <w:r w:rsidR="0003623A">
        <w:t xml:space="preserve"> </w:t>
      </w:r>
      <w:r>
        <w:t xml:space="preserve">the null hypothesis. So there is </w:t>
      </w:r>
      <w:r w:rsidR="0003623A">
        <w:t>a</w:t>
      </w:r>
      <w:r>
        <w:t xml:space="preserve"> significant difference in the </w:t>
      </w:r>
      <w:r w:rsidR="0003623A">
        <w:t xml:space="preserve">six </w:t>
      </w:r>
      <w:r w:rsidR="007D15D1">
        <w:t>manufacturers’</w:t>
      </w:r>
      <w:r>
        <w:t xml:space="preserve"> variances.</w:t>
      </w:r>
    </w:p>
    <w:p w:rsidR="0003623A" w:rsidRDefault="0003623A" w:rsidP="0003623A">
      <w:pPr>
        <w:spacing w:line="360" w:lineRule="auto"/>
        <w:jc w:val="both"/>
      </w:pPr>
      <w:r>
        <w:t xml:space="preserve">This implies that the ‘One-Way </w:t>
      </w:r>
      <w:proofErr w:type="spellStart"/>
      <w:r>
        <w:t>Anova</w:t>
      </w:r>
      <w:proofErr w:type="spellEnd"/>
      <w:r>
        <w:t xml:space="preserve">’ test cannot be carried out as not all manufacturers have a normally distributed calories count and their variances are not equal. </w:t>
      </w:r>
      <w:proofErr w:type="gramStart"/>
      <w:r>
        <w:t>Therefore, the non-parametric ‘</w:t>
      </w:r>
      <w:proofErr w:type="spellStart"/>
      <w:r>
        <w:t>Kruskal</w:t>
      </w:r>
      <w:proofErr w:type="spellEnd"/>
      <w:r>
        <w:t xml:space="preserve"> Wallis’ test is used.</w:t>
      </w:r>
      <w:proofErr w:type="gramEnd"/>
    </w:p>
    <w:p w:rsidR="0003623A" w:rsidRDefault="0003623A" w:rsidP="0003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23A" w:rsidRDefault="0003623A" w:rsidP="0003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23A" w:rsidRDefault="0003623A" w:rsidP="0003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23A" w:rsidRPr="0003623A" w:rsidRDefault="0003623A" w:rsidP="00036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24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43"/>
        <w:gridCol w:w="1000"/>
      </w:tblGrid>
      <w:tr w:rsidR="0003623A" w:rsidRPr="0003623A" w:rsidTr="0003623A">
        <w:trPr>
          <w:cantSplit/>
          <w:jc w:val="center"/>
        </w:trPr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Test </w:t>
            </w:r>
            <w:proofErr w:type="spellStart"/>
            <w:r w:rsidRPr="0003623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  <w:r w:rsidRPr="0003623A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a,b</w:t>
            </w:r>
            <w:proofErr w:type="spellEnd"/>
          </w:p>
        </w:tc>
      </w:tr>
      <w:tr w:rsidR="0003623A" w:rsidRPr="0003623A" w:rsidTr="0003623A">
        <w:trPr>
          <w:cantSplit/>
          <w:jc w:val="center"/>
        </w:trPr>
        <w:tc>
          <w:tcPr>
            <w:tcW w:w="124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Calories</w:t>
            </w:r>
          </w:p>
        </w:tc>
      </w:tr>
      <w:tr w:rsidR="0003623A" w:rsidRPr="0003623A" w:rsidTr="0003623A">
        <w:trPr>
          <w:cantSplit/>
          <w:jc w:val="center"/>
        </w:trPr>
        <w:tc>
          <w:tcPr>
            <w:tcW w:w="124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12.970</w:t>
            </w:r>
          </w:p>
        </w:tc>
      </w:tr>
      <w:tr w:rsidR="0003623A" w:rsidRPr="0003623A" w:rsidTr="0003623A">
        <w:trPr>
          <w:cantSplit/>
          <w:jc w:val="center"/>
        </w:trPr>
        <w:tc>
          <w:tcPr>
            <w:tcW w:w="124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03623A" w:rsidRPr="0003623A" w:rsidTr="0003623A">
        <w:trPr>
          <w:cantSplit/>
          <w:jc w:val="center"/>
        </w:trPr>
        <w:tc>
          <w:tcPr>
            <w:tcW w:w="124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. Sig.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.024</w:t>
            </w:r>
          </w:p>
        </w:tc>
      </w:tr>
      <w:tr w:rsidR="0003623A" w:rsidRPr="0003623A" w:rsidTr="0003623A">
        <w:trPr>
          <w:cantSplit/>
          <w:jc w:val="center"/>
        </w:trPr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Kruskal</w:t>
            </w:r>
            <w:proofErr w:type="spellEnd"/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 xml:space="preserve"> Wallis Test</w:t>
            </w:r>
          </w:p>
        </w:tc>
      </w:tr>
      <w:tr w:rsidR="0003623A" w:rsidRPr="0003623A" w:rsidTr="0003623A">
        <w:trPr>
          <w:cantSplit/>
          <w:jc w:val="center"/>
        </w:trPr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3623A" w:rsidRPr="0003623A" w:rsidRDefault="0003623A" w:rsidP="000362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623A">
              <w:rPr>
                <w:rFonts w:ascii="Arial" w:hAnsi="Arial" w:cs="Arial"/>
                <w:color w:val="000000"/>
                <w:sz w:val="18"/>
                <w:szCs w:val="18"/>
              </w:rPr>
              <w:t>b. Grouping Variable: Manufacturer</w:t>
            </w:r>
          </w:p>
        </w:tc>
      </w:tr>
    </w:tbl>
    <w:p w:rsidR="0003623A" w:rsidRPr="0003623A" w:rsidRDefault="0003623A" w:rsidP="000362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3623A" w:rsidRDefault="007D15D1" w:rsidP="0003623A">
      <w:pPr>
        <w:spacing w:line="360" w:lineRule="auto"/>
        <w:jc w:val="both"/>
      </w:pPr>
      <w:r>
        <w:t>Since the p-value is 0.024, which is less than the level of significance, 0.05, H</w:t>
      </w:r>
      <w:r w:rsidRPr="007D15D1">
        <w:rPr>
          <w:vertAlign w:val="subscript"/>
        </w:rPr>
        <w:t>0</w:t>
      </w:r>
      <w:r w:rsidR="0003623A">
        <w:t xml:space="preserve"> is</w:t>
      </w:r>
      <w:r>
        <w:t xml:space="preserve"> </w:t>
      </w:r>
      <w:r w:rsidR="0003623A">
        <w:t xml:space="preserve">rejected. So there is a significant difference in the median </w:t>
      </w:r>
      <w:r>
        <w:t>calories</w:t>
      </w:r>
      <w:r w:rsidR="0003623A">
        <w:t xml:space="preserve"> </w:t>
      </w:r>
      <w:r>
        <w:t>found in the cereals produced by the different manufacturers.</w:t>
      </w:r>
      <w:r w:rsidR="0003623A">
        <w:t xml:space="preserve"> Post hoc tests can </w:t>
      </w:r>
      <w:r w:rsidR="005B3620">
        <w:t>then</w:t>
      </w:r>
      <w:r w:rsidR="0003623A">
        <w:t xml:space="preserve"> be applied to</w:t>
      </w:r>
      <w:r w:rsidR="00BA3EFD">
        <w:t xml:space="preserve"> test</w:t>
      </w:r>
      <w:r w:rsidR="0003623A">
        <w:t xml:space="preserve"> which means are actually significantly different.</w:t>
      </w: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5B3620" w:rsidRDefault="005B3620" w:rsidP="0003623A">
      <w:pPr>
        <w:spacing w:line="360" w:lineRule="auto"/>
        <w:jc w:val="both"/>
      </w:pPr>
    </w:p>
    <w:p w:rsidR="00BA3EFD" w:rsidRDefault="00BA3EFD" w:rsidP="0003623A">
      <w:pPr>
        <w:spacing w:line="360" w:lineRule="auto"/>
        <w:jc w:val="both"/>
        <w:rPr>
          <w:sz w:val="24"/>
          <w:u w:val="single"/>
        </w:rPr>
      </w:pPr>
      <w:r w:rsidRPr="00BA3EFD">
        <w:rPr>
          <w:sz w:val="24"/>
          <w:u w:val="single"/>
        </w:rPr>
        <w:lastRenderedPageBreak/>
        <w:t xml:space="preserve">Post-hoc </w:t>
      </w:r>
      <w:proofErr w:type="spellStart"/>
      <w:r w:rsidRPr="00BA3EFD">
        <w:rPr>
          <w:sz w:val="24"/>
          <w:u w:val="single"/>
        </w:rPr>
        <w:t>Bonferroni</w:t>
      </w:r>
      <w:proofErr w:type="spellEnd"/>
      <w:r w:rsidRPr="00BA3EFD">
        <w:rPr>
          <w:sz w:val="24"/>
          <w:u w:val="single"/>
        </w:rPr>
        <w:t xml:space="preserve"> procedure to the </w:t>
      </w:r>
      <w:proofErr w:type="spellStart"/>
      <w:r w:rsidRPr="00BA3EFD">
        <w:rPr>
          <w:sz w:val="24"/>
          <w:u w:val="single"/>
        </w:rPr>
        <w:t>Kruskal</w:t>
      </w:r>
      <w:proofErr w:type="spellEnd"/>
      <w:r w:rsidRPr="00BA3EFD">
        <w:rPr>
          <w:sz w:val="24"/>
          <w:u w:val="single"/>
        </w:rPr>
        <w:t xml:space="preserve">-Wallis test </w:t>
      </w:r>
    </w:p>
    <w:p w:rsidR="00BA3EFD" w:rsidRDefault="00BA3EFD" w:rsidP="005B36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162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404" t="13200" r="4220" b="20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620" w:rsidRDefault="005B3620" w:rsidP="005B36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3EFD" w:rsidRDefault="005B3620" w:rsidP="005B3620">
      <w:pPr>
        <w:jc w:val="center"/>
      </w:pPr>
      <w:r w:rsidRPr="005B3620">
        <w:drawing>
          <wp:inline distT="0" distB="0" distL="0" distR="0">
            <wp:extent cx="3554572" cy="6951785"/>
            <wp:effectExtent l="19050" t="0" r="7778" b="0"/>
            <wp:docPr id="2" name="Picture 4" descr="C:\Users\Owner\AppData\Local\Temp\temp8688748008273623605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AppData\Local\Temp\temp8688748008273623605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327" t="1983" r="22302" b="20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781" cy="695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620" w:rsidRPr="00BA3EFD" w:rsidRDefault="005B3620" w:rsidP="005B3620">
      <w:pPr>
        <w:autoSpaceDE w:val="0"/>
        <w:autoSpaceDN w:val="0"/>
        <w:adjustRightInd w:val="0"/>
        <w:spacing w:after="0" w:line="240" w:lineRule="auto"/>
        <w:jc w:val="both"/>
      </w:pPr>
      <w:r w:rsidRPr="005B3620">
        <w:lastRenderedPageBreak/>
        <w:t xml:space="preserve">It can be seen that after the </w:t>
      </w:r>
      <w:proofErr w:type="spellStart"/>
      <w:r w:rsidRPr="005B3620">
        <w:t>Bonferroni</w:t>
      </w:r>
      <w:proofErr w:type="spellEnd"/>
      <w:r w:rsidRPr="005B3620">
        <w:t xml:space="preserve"> p-value adjustment, only three of the manufacturers are still significantly different from each other. This means that </w:t>
      </w:r>
      <w:proofErr w:type="gramStart"/>
      <w:r w:rsidRPr="005B3620">
        <w:t>at 0.05 level of significance,</w:t>
      </w:r>
      <w:proofErr w:type="gramEnd"/>
      <w:r w:rsidRPr="005B3620">
        <w:t xml:space="preserve"> “Nabisco”-“</w:t>
      </w:r>
      <w:proofErr w:type="spellStart"/>
      <w:r w:rsidRPr="005B3620">
        <w:t>Kellogs</w:t>
      </w:r>
      <w:proofErr w:type="spellEnd"/>
      <w:r w:rsidRPr="005B3620">
        <w:t>” and “Nabisco”-“General Mills” pertain to a distinct homogenous group. The rest of the manufacturers are similar to one another since their p-value is greater than 0.05.</w:t>
      </w:r>
    </w:p>
    <w:sectPr w:rsidR="005B3620" w:rsidRPr="00BA3EFD" w:rsidSect="000F0FB3">
      <w:pgSz w:w="11903" w:h="16836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515" w:rsidRDefault="00157515" w:rsidP="005B3620">
      <w:pPr>
        <w:spacing w:after="0" w:line="240" w:lineRule="auto"/>
      </w:pPr>
      <w:r>
        <w:separator/>
      </w:r>
    </w:p>
  </w:endnote>
  <w:endnote w:type="continuationSeparator" w:id="0">
    <w:p w:rsidR="00157515" w:rsidRDefault="00157515" w:rsidP="005B3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515" w:rsidRDefault="00157515" w:rsidP="005B3620">
      <w:pPr>
        <w:spacing w:after="0" w:line="240" w:lineRule="auto"/>
      </w:pPr>
      <w:r>
        <w:separator/>
      </w:r>
    </w:p>
  </w:footnote>
  <w:footnote w:type="continuationSeparator" w:id="0">
    <w:p w:rsidR="00157515" w:rsidRDefault="00157515" w:rsidP="005B3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46E7D"/>
    <w:multiLevelType w:val="hybridMultilevel"/>
    <w:tmpl w:val="E926E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54BF"/>
    <w:rsid w:val="0003623A"/>
    <w:rsid w:val="00157515"/>
    <w:rsid w:val="00310EF5"/>
    <w:rsid w:val="00447C98"/>
    <w:rsid w:val="005B3620"/>
    <w:rsid w:val="006654BF"/>
    <w:rsid w:val="007D15D1"/>
    <w:rsid w:val="00803634"/>
    <w:rsid w:val="00977087"/>
    <w:rsid w:val="00BA3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2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3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620"/>
  </w:style>
  <w:style w:type="paragraph" w:styleId="Footer">
    <w:name w:val="footer"/>
    <w:basedOn w:val="Normal"/>
    <w:link w:val="FooterChar"/>
    <w:uiPriority w:val="99"/>
    <w:semiHidden/>
    <w:unhideWhenUsed/>
    <w:rsid w:val="005B3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6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Scanmalta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2019-05-13T15:26:00Z</dcterms:created>
  <dcterms:modified xsi:type="dcterms:W3CDTF">2019-05-15T20:55:00Z</dcterms:modified>
</cp:coreProperties>
</file>