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Metrics for Void Segmentation</w:t>
      </w:r>
    </w:p>
    <w:p>
      <w:r>
        <w:t>All segmentation metrics used in this work are derived from the per-pixel (per-voxel, for the 3-D volumes) confusion matrix of the binary problem void vs. background. For each pixel the prediction is compared with the ground-truth label, yielding four counts: true positives (TP, predicted void and truly void), false positives (FP, predicted void but background), false negatives (FN, predicted background but truly void), and true negatives (TN, predicted background and truly background). Every metric below is a function of these four counts.</w:t>
      </w:r>
    </w:p>
    <w:p>
      <w:pPr>
        <w:pStyle w:val="Heading1"/>
      </w:pPr>
      <w:r>
        <w:t>Confusion matrix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Ground truth: void</w:t>
            </w:r>
          </w:p>
        </w:tc>
        <w:tc>
          <w:tcPr>
            <w:tcW w:type="dxa" w:w="2880"/>
          </w:tcPr>
          <w:p>
            <w:r>
              <w:rPr>
                <w:b/>
              </w:rPr>
              <w:t>Ground truth: background</w:t>
            </w:r>
          </w:p>
        </w:tc>
      </w:tr>
      <w:tr>
        <w:tc>
          <w:tcPr>
            <w:tcW w:type="dxa" w:w="2880"/>
          </w:tcPr>
          <w:p>
            <w:r>
              <w:rPr>
                <w:b/>
              </w:rPr>
              <w:t>Predicted: void</w:t>
            </w:r>
          </w:p>
        </w:tc>
        <w:tc>
          <w:tcPr>
            <w:tcW w:type="dxa" w:w="2880"/>
          </w:tcPr>
          <w:p>
            <w:r>
              <w:t>TP (true positive)</w:t>
            </w:r>
          </w:p>
        </w:tc>
        <w:tc>
          <w:tcPr>
            <w:tcW w:type="dxa" w:w="2880"/>
          </w:tcPr>
          <w:p>
            <w:r>
              <w:t>FP (false positive)</w:t>
            </w:r>
          </w:p>
        </w:tc>
      </w:tr>
      <w:tr>
        <w:tc>
          <w:tcPr>
            <w:tcW w:type="dxa" w:w="2880"/>
          </w:tcPr>
          <w:p>
            <w:r>
              <w:rPr>
                <w:b/>
              </w:rPr>
              <w:t>Predicted: background</w:t>
            </w:r>
          </w:p>
        </w:tc>
        <w:tc>
          <w:tcPr>
            <w:tcW w:type="dxa" w:w="2880"/>
          </w:tcPr>
          <w:p>
            <w:r>
              <w:t>FN (false negative)</w:t>
            </w:r>
          </w:p>
        </w:tc>
        <w:tc>
          <w:tcPr>
            <w:tcW w:type="dxa" w:w="2880"/>
          </w:tcPr>
          <w:p>
            <w:r>
              <w:t>TN (true negative)</w:t>
            </w:r>
          </w:p>
        </w:tc>
      </w:tr>
    </w:tbl>
    <w:p>
      <w:pPr>
        <w:pStyle w:val="Heading1"/>
      </w:pPr>
      <w:r>
        <w:t>Metric definitions</w:t>
      </w:r>
    </w:p>
    <w:p>
      <w:pPr>
        <w:pStyle w:val="Heading2"/>
      </w:pPr>
      <w:r>
        <w:t>Precision</w:t>
      </w:r>
    </w:p>
    <w:p>
      <w:pPr>
        <w:jc w:val="center"/>
      </w:pPr>
      <w:r>
        <w:rPr>
          <w:i/>
          <w:sz w:val="24"/>
        </w:rPr>
        <w:t>Precision = TP / (TP + FP)</w:t>
      </w:r>
    </w:p>
    <w:p>
      <w:r>
        <w:t>Of the pixels the model labelled as void, the fraction that are truly void. Low precision indicates over-segmentation (false alarms).</w:t>
      </w:r>
    </w:p>
    <w:p>
      <w:pPr>
        <w:pStyle w:val="Heading2"/>
      </w:pPr>
      <w:r>
        <w:t>Recall (sensitivity, true-positive rate)</w:t>
      </w:r>
    </w:p>
    <w:p>
      <w:pPr>
        <w:jc w:val="center"/>
      </w:pPr>
      <w:r>
        <w:rPr>
          <w:i/>
          <w:sz w:val="24"/>
        </w:rPr>
        <w:t>Recall = TP / (TP + FN)</w:t>
      </w:r>
    </w:p>
    <w:p>
      <w:r>
        <w:t>Of the pixels that are truly void, the fraction the model recovered. Low recall indicates missed voids. Precision and recall trade off against each other and should be reported together.</w:t>
      </w:r>
    </w:p>
    <w:p>
      <w:pPr>
        <w:pStyle w:val="Heading2"/>
      </w:pPr>
      <w:r>
        <w:t>Pixel accuracy</w:t>
      </w:r>
    </w:p>
    <w:p>
      <w:pPr>
        <w:jc w:val="center"/>
      </w:pPr>
      <w:r>
        <w:rPr>
          <w:i/>
          <w:sz w:val="24"/>
        </w:rPr>
        <w:t>PA = (TP + TN) / (TP + TN + FP + FN)</w:t>
      </w:r>
    </w:p>
    <w:p>
      <w:r>
        <w:t>The fraction of all pixels classified correctly. Because voids occupy only a small fraction of each scan, this metric is misleading under such class imbalance: a model predicting background everywhere attains very high accuracy while detecting nothing. It is reported for completeness but is not relied upon in isolation.</w:t>
      </w:r>
    </w:p>
    <w:p>
      <w:pPr>
        <w:pStyle w:val="Heading2"/>
      </w:pPr>
      <w:r>
        <w:t>Intersection-over-Union (IoU, Jaccard index)</w:t>
      </w:r>
    </w:p>
    <w:p>
      <w:pPr>
        <w:jc w:val="center"/>
      </w:pPr>
      <w:r>
        <w:rPr>
          <w:i/>
          <w:sz w:val="24"/>
        </w:rPr>
        <w:t>IoU = TP / (TP + FP + FN) = |A ∩ B| / |A ∪ B|</w:t>
      </w:r>
    </w:p>
    <w:p>
      <w:r>
        <w:t>The overlap between the predicted void region A and the ground-truth void region B, normalised by their union. It ranges from 0 (no overlap) to 1 (perfect overlap). Unlike pixel accuracy, IoU excludes the dominant true-negative background and therefore genuinely measures void localisation.</w:t>
      </w:r>
    </w:p>
    <w:p>
      <w:pPr>
        <w:pStyle w:val="Heading2"/>
      </w:pPr>
      <w:r>
        <w:t>Dice coefficient (Sørensen–Dice; equivalent to the F1 score)</w:t>
      </w:r>
    </w:p>
    <w:p>
      <w:pPr>
        <w:jc w:val="center"/>
      </w:pPr>
      <w:r>
        <w:rPr>
          <w:i/>
          <w:sz w:val="24"/>
        </w:rPr>
        <w:t>Dice = 2·TP / (2·TP + FP + FN) = 2|A ∩ B| / (|A| + |B|)</w:t>
      </w:r>
    </w:p>
    <w:p>
      <w:pPr>
        <w:jc w:val="center"/>
      </w:pPr>
      <w:r>
        <w:rPr>
          <w:i/>
          <w:sz w:val="24"/>
        </w:rPr>
        <w:t>Dice = 2·Precision·Recall / (Precision + Recall)</w:t>
      </w:r>
    </w:p>
    <w:p>
      <w:r>
        <w:t>Twice the intersection divided by the sum of the two sets. As the third form shows, the Dice coefficient is the harmonic mean of precision and recall and is therefore identical to the F1 score; it is high only when both precision and recall are high.</w:t>
      </w:r>
    </w:p>
    <w:p>
      <w:pPr>
        <w:pStyle w:val="Heading2"/>
      </w:pPr>
      <w:r>
        <w:t>Mean IoU (mIoU)</w:t>
      </w:r>
    </w:p>
    <w:p>
      <w:pPr>
        <w:jc w:val="center"/>
      </w:pPr>
      <w:r>
        <w:rPr>
          <w:i/>
          <w:sz w:val="24"/>
        </w:rPr>
        <w:t>mIoU = (1/N) · Σ IoUᵢ ,  i = 1 … N</w:t>
      </w:r>
    </w:p>
    <w:p>
      <w:r>
        <w:t>The IoU averaged over a set of N items. In a two-class problem this is the mean of the void IoU and the background IoU; in a multi-sample report it is the mean of the per-sample void IoU. The averaging convention should be stated explicitly, as both appear in the literature; in this work mIoU denotes the per-sample mean of the void-class IoU.</w:t>
      </w:r>
    </w:p>
    <w:p>
      <w:pPr>
        <w:pStyle w:val="Heading1"/>
      </w:pPr>
      <w:r>
        <w:t>Relationships between the metrics</w:t>
      </w:r>
    </w:p>
    <w:p>
      <w:r>
        <w:t>Dice and IoU are monotonically related, so they rank models identically:</w:t>
      </w:r>
    </w:p>
    <w:p>
      <w:pPr>
        <w:jc w:val="center"/>
      </w:pPr>
      <w:r>
        <w:rPr>
          <w:i/>
          <w:sz w:val="24"/>
        </w:rPr>
        <w:t>Dice = 2·IoU / (1 + IoU) ,   IoU = Dice / (2 − Dice)</w:t>
      </w:r>
    </w:p>
    <w:p>
      <w:pPr>
        <w:pStyle w:val="ListBullet"/>
      </w:pPr>
      <w:r>
        <w:t>Consequently Dice ≥ IoU for any imperfect prediction; Dice is the more lenient-looking value. Both are commonly reported, but they carry the same ranking information.</w:t>
      </w:r>
    </w:p>
    <w:p>
      <w:pPr>
        <w:pStyle w:val="ListBullet"/>
      </w:pPr>
      <w:r>
        <w:t>Dice and IoU involve only the positive (void) class, making them the appropriate choice under heavy class imbalance, whereas pixel accuracy is dominated by true negatives.</w:t>
      </w:r>
    </w:p>
    <w:p>
      <w:pPr>
        <w:pStyle w:val="Heading1"/>
      </w:pPr>
      <w:r>
        <w:t>Application note</w:t>
      </w:r>
    </w:p>
    <w:p>
      <w:r>
        <w:t>Because the majority of depth slices contain no void, per-slice Dice and IoU are trivially close to 1 on empty slices and inflate the mean. Metrics in this work are therefore reported void-conditionally (computed over slices or samples that contain at least one void), and precision and recall are reported separately, since the detectors are characteristically high-precision / low-recall — a property that a single Dice value obscures.</w:t>
      </w:r>
    </w:p>
    <w:p>
      <w:pPr>
        <w:pStyle w:val="Heading1"/>
      </w:pPr>
      <w:r>
        <w:t>References</w:t>
      </w:r>
    </w:p>
    <w:p>
      <w:pPr>
        <w:pStyle w:val="ListNumber"/>
      </w:pPr>
      <w:r>
        <w:t>Jaccard, P. (1912). The distribution of the flora in the alpine zone. New Phytologist, 11(2), 37–50.</w:t>
      </w:r>
    </w:p>
    <w:p>
      <w:pPr>
        <w:pStyle w:val="ListNumber"/>
      </w:pPr>
      <w:r>
        <w:t>Dice, L. R. (1945). Measures of the amount of ecologic association between species. Ecology, 26(3), 297–302.</w:t>
      </w:r>
    </w:p>
    <w:p>
      <w:pPr>
        <w:pStyle w:val="ListNumber"/>
      </w:pPr>
      <w:r>
        <w:t>Sørensen, T. (1948). A method of establishing groups of equal amplitude in plant sociology based on similarity of species content. Biologiske Skrifter, 5, 1–34.</w:t>
      </w:r>
    </w:p>
    <w:p>
      <w:pPr>
        <w:pStyle w:val="ListNumber"/>
      </w:pPr>
      <w:r>
        <w:t>van Rijsbergen, C. J. (1979). Information Retrieval (2nd ed.). Butterworths.</w:t>
      </w:r>
    </w:p>
    <w:p>
      <w:pPr>
        <w:pStyle w:val="ListNumber"/>
      </w:pPr>
      <w:r>
        <w:t>Everingham, M., Van Gool, L., Williams, C. K. I., Winn, J., &amp; Zisserman, A. (2010). The PASCAL Visual Object Classes (VOC) Challenge. International Journal of Computer Vision, 88(2), 303–338.</w:t>
      </w:r>
    </w:p>
    <w:p>
      <w:pPr>
        <w:pStyle w:val="ListNumber"/>
      </w:pPr>
      <w:r>
        <w:t>Long, J., Shelhamer, E., &amp; Darrell, T. (2015). Fully Convolutional Networks for Semantic Segmentation. CVPR, 3431–3440.</w:t>
      </w:r>
    </w:p>
    <w:p>
      <w:pPr>
        <w:pStyle w:val="ListNumber"/>
      </w:pPr>
      <w:r>
        <w:t>Taha, A. A., &amp; Hanbury, A. (2015). Metrics for evaluating 3D medical image segmentation: analysis, selection, and tool. BMC Medical Imaging, 15, 29.</w:t>
      </w:r>
    </w:p>
    <w:p>
      <w:pPr>
        <w:pStyle w:val="ListNumber"/>
      </w:pPr>
      <w:r>
        <w:t>Milletari, F., Navab, N., &amp; Ahmadi, S.-A. (2016). V-Net: Fully Convolutional Neural Networks for Volumetric Medical Image Segmentation. 3DV, 565–571.</w:t>
      </w:r>
    </w:p>
    <w:p>
      <w:pPr>
        <w:pStyle w:val="ListNumber"/>
      </w:pPr>
      <w:r>
        <w:t>Csurka, G., Larlus, D., &amp; Perronnin, F. (2013). What is a good evaluation measure for semantic segmentation? BMVC.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