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Chapter 4 — Data preparation, ground truth and dataset splits</w:t>
      </w:r>
    </w:p>
    <w:p>
      <w:r>
        <w:t>This chapter describes how the raw THz-TDS data cubes introduced in Chapter 3 are processed into the depth-slice tensors consumed by the segmentation model, how ground-truth labels are produced, how the data is partitioned for training and held-out evaluation, and the augmentation pipeline applied at training time. Each design choice is justified in the context of the limited number of physical specimens available (15) and the single non-expert annotation pass that produced the manual labels.</w:t>
      </w:r>
    </w:p>
    <w:p>
      <w:pPr>
        <w:pStyle w:val="Heading2"/>
      </w:pPr>
      <w:r>
        <w:t>4.1 Depth-slice generation</w:t>
      </w:r>
    </w:p>
    <w:p>
      <w:r>
        <w:t>Each raw THz cube V(t, y, x) is converted into a stack of depth slices by thz_slice_pipeline.process_to_slices() in a four-step pipeline. The four steps are detailed below in the order in which they are applied; the same pipeline is used for both label-time (50 depth gates) and training (2050 depth gates) outputs.</w:t>
      </w:r>
    </w:p>
    <w:p>
      <w:pPr>
        <w:pStyle w:val="Heading3"/>
      </w:pPr>
      <w:r>
        <w:t>4.1.1 Hilbert-transform envelope</w:t>
      </w:r>
    </w:p>
    <w:p>
      <w:r>
        <w:t>For each pixel A-scan we compute the analytic-signal envelope</w:t>
      </w:r>
      <w:r>
        <w:rPr>
          <w:b/>
          <w:color w:val="C0392B"/>
        </w:rPr>
        <w:t xml:space="preserve"> [D1]</w:t>
      </w:r>
      <w:r>
        <w:t>,  E(t, y, x) = |V(t, y, x) + j·H{V(t, y, x)}|,  where H{·} is the discrete Hilbert transform along the time axis. The envelope is a smooth, positive-valued representation of the reflected pulse energy. It is robust to the carrier-phase ambiguity of bipolar reflections — a single internal interface produces a sign-flipping echo whose peak position is shared between the positive and negative lobes, but whose envelope is a single well-defined maximum suitable for surface localisation.</w:t>
      </w:r>
    </w:p>
    <w:p>
      <w:pPr>
        <w:pStyle w:val="Heading3"/>
      </w:pPr>
      <w:r>
        <w:t>4.1.2 Per-pixel surface flattening</w:t>
      </w:r>
    </w:p>
    <w:p>
      <w:r>
        <w:t>A coarse surface time index is obtained from the spatially-averaged envelope, then refined per pixel as the local envelope maximum within a ±20 % window centred on the global surface peak. Each A-scan is then rolled along time so that all per-pixel surfaces align at a common reference index, removing the millimetre-scale surface tilt of the specimen and the sub-millimetre per-pixel surface roughness from the depth axis</w:t>
      </w:r>
      <w:r>
        <w:rPr>
          <w:b/>
          <w:color w:val="C0392B"/>
        </w:rPr>
        <w:t xml:space="preserve"> [D2]</w:t>
      </w:r>
      <w:r>
        <w:t>. The known limitation of this step — surface-detection bias introduced when a strong sub-surface reflector exceeds the air–CFRP envelope amplitude — is discussed in detail in Chapter 3 § X.X. The bias is a stable per-pixel offset and therefore acts as a global shift on the depth axis rather than as a per-pixel artefact.</w:t>
      </w:r>
    </w:p>
    <w:p>
      <w:pPr>
        <w:pStyle w:val="Heading3"/>
      </w:pPr>
      <w:r>
        <w:t>4.1.3 Depth slicing with 50 and 2050 time gates</w:t>
      </w:r>
    </w:p>
    <w:p>
      <w:r>
        <w:t>From the flattened envelope volume the pipeline extracts N evenly-spaced time gates between the aligned surface and the end of the time window. Two values of N are used and retained on disk:</w:t>
      </w:r>
    </w:p>
    <w:p>
      <w:r>
        <w:rPr>
          <w:b/>
        </w:rPr>
        <w:t xml:space="preserve">• </w:t>
      </w:r>
      <w:r>
        <w:rPr>
          <w:b/>
        </w:rPr>
        <w:t xml:space="preserve">N = 50 — the label-time grid. </w:t>
      </w:r>
      <w:r>
        <w:t>With a depth step of Δz ≈ 0.087 mm, this grid is fine enough for a human annotator to localise voids by eye and coarse enough to scrub through quickly. All manual annotations and the 50-slice U-Net experiments use this grid.</w:t>
      </w:r>
    </w:p>
    <w:p>
      <w:r>
        <w:rPr>
          <w:b/>
        </w:rPr>
        <w:t xml:space="preserve">• </w:t>
      </w:r>
      <w:r>
        <w:rPr>
          <w:b/>
        </w:rPr>
        <w:t xml:space="preserve">N = 2050 — the training grid. </w:t>
      </w:r>
      <w:r>
        <w:t>At one gate per raw time sample this is the native depth resolution of the scanner, Δz ≈ 2.1 μm, and retains every echo feature that the surface flattening preserves. All production training runs and final per-blob F1 evaluations use this grid.</w:t>
      </w:r>
    </w:p>
    <w:p>
      <w:pPr>
        <w:pStyle w:val="Heading3"/>
      </w:pPr>
      <w:r>
        <w:t>4.1.4 99th-percentile per-slice normalisation</w:t>
      </w:r>
    </w:p>
    <w:p>
      <w:r>
        <w:t>Each gate Sn is normalised independently as min(Sn / P99(Sn), 1), where P99 is the 99th percentile of the slice intensity distribution. Choosing P99 rather than max(Sn) as the normaliser flattens the depth-dependent intensity decay (deeper slices receive a weaker echo) without being skewed by the small number of bright outlier pixels that are an artefact of surface-detection mismatches. The clamp at 1 caps the small fraction of pixels above P99 and produces output in [0, 1]. Empirically this normalisation gives a markedly more uniform depth-axis intensity than mean-subtraction or per-volume rescaling, and improves U-Net training stability on the deeper slices that would otherwise sit near the noise floor.</w:t>
      </w:r>
    </w:p>
    <w:p>
      <w:r>
        <w:t>After the four steps the pipeline resamples each volume to an isotropic 0.2 mm lateral grid (no-op for atlanta2, which is already isotropic; required for atlanta1) and crops to a 20 × 20 mm region of interest centred on each sample, producing the standard (N, 100, 100) tensor consumed by every model in this thesis.</w:t>
      </w:r>
    </w:p>
    <w:p>
      <w:pPr>
        <w:pStyle w:val="Heading2"/>
      </w:pPr>
      <w:r>
        <w:t>4.2 Resulting dataset and label coverage</w:t>
      </w:r>
    </w:p>
    <w:p>
      <w:r>
        <w:t>At N = 2050 training resolution, the 15 atlanta2 samples produce a dataset of 30 750 depth-slice items (15 × 2050). The label coverage on that grid is summarised in Table 4.1.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Subset</w:t>
            </w:r>
          </w:p>
        </w:tc>
        <w:tc>
          <w:tcPr>
            <w:tcW w:type="dxa" w:w="2880"/>
          </w:tcPr>
          <w:p>
            <w:r>
              <w:t>Count</w:t>
            </w:r>
          </w:p>
        </w:tc>
        <w:tc>
          <w:tcPr>
            <w:tcW w:type="dxa" w:w="2880"/>
          </w:tcPr>
          <w:p>
            <w:r>
              <w:t>% of dataset</w:t>
            </w:r>
          </w:p>
        </w:tc>
      </w:tr>
      <w:tr>
        <w:tc>
          <w:tcPr>
            <w:tcW w:type="dxa" w:w="2880"/>
          </w:tcPr>
          <w:p>
            <w:r>
              <w:t>Void-positive (any label source)</w:t>
            </w:r>
          </w:p>
        </w:tc>
        <w:tc>
          <w:tcPr>
            <w:tcW w:type="dxa" w:w="2880"/>
          </w:tcPr>
          <w:p>
            <w:r>
              <w:t>5 731</w:t>
            </w:r>
          </w:p>
        </w:tc>
        <w:tc>
          <w:tcPr>
            <w:tcW w:type="dxa" w:w="2880"/>
          </w:tcPr>
          <w:p>
            <w:r>
              <w:t>18.6 %</w:t>
            </w:r>
          </w:p>
        </w:tc>
      </w:tr>
      <w:tr>
        <w:tc>
          <w:tcPr>
            <w:tcW w:type="dxa" w:w="2880"/>
          </w:tcPr>
          <w:p>
            <w:r>
              <w:t>Void-free (no positive label)</w:t>
            </w:r>
          </w:p>
        </w:tc>
        <w:tc>
          <w:tcPr>
            <w:tcW w:type="dxa" w:w="2880"/>
          </w:tcPr>
          <w:p>
            <w:r>
              <w:t>25 019</w:t>
            </w:r>
          </w:p>
        </w:tc>
        <w:tc>
          <w:tcPr>
            <w:tcW w:type="dxa" w:w="2880"/>
          </w:tcPr>
          <w:p>
            <w:r>
              <w:t>81.4 %</w:t>
            </w:r>
          </w:p>
        </w:tc>
      </w:tr>
      <w:tr>
        <w:tc>
          <w:tcPr>
            <w:tcW w:type="dxa" w:w="2880"/>
          </w:tcPr>
          <w:p>
            <w:r>
              <w:t xml:space="preserve">  of which: strong manual supervision (annotator-drawn)</w:t>
            </w:r>
          </w:p>
        </w:tc>
        <w:tc>
          <w:tcPr>
            <w:tcW w:type="dxa" w:w="2880"/>
          </w:tcPr>
          <w:p>
            <w:r>
              <w:t>176</w:t>
            </w:r>
          </w:p>
        </w:tc>
        <w:tc>
          <w:tcPr>
            <w:tcW w:type="dxa" w:w="2880"/>
          </w:tcPr>
          <w:p>
            <w:r>
              <w:t>0.6 %</w:t>
            </w:r>
          </w:p>
        </w:tc>
      </w:tr>
      <w:tr>
        <w:tc>
          <w:tcPr>
            <w:tcW w:type="dxa" w:w="2880"/>
          </w:tcPr>
          <w:p>
            <w:r>
              <w:t xml:space="preserve">  of which: pseudo-label supervision only</w:t>
            </w:r>
          </w:p>
        </w:tc>
        <w:tc>
          <w:tcPr>
            <w:tcW w:type="dxa" w:w="2880"/>
          </w:tcPr>
          <w:p>
            <w:r>
              <w:t>5 555</w:t>
            </w:r>
          </w:p>
        </w:tc>
        <w:tc>
          <w:tcPr>
            <w:tcW w:type="dxa" w:w="2880"/>
          </w:tcPr>
          <w:p>
            <w:r>
              <w:t>18.1 %</w:t>
            </w:r>
          </w:p>
        </w:tc>
      </w:tr>
      <w:tr>
        <w:tc>
          <w:tcPr>
            <w:tcW w:type="dxa" w:w="2880"/>
          </w:tcPr>
          <w:p>
            <w:r>
              <w:t>Total dataset items (15 samples × 2050 slices)</w:t>
            </w:r>
          </w:p>
        </w:tc>
        <w:tc>
          <w:tcPr>
            <w:tcW w:type="dxa" w:w="2880"/>
          </w:tcPr>
          <w:p>
            <w:r>
              <w:t>30 750</w:t>
            </w:r>
          </w:p>
        </w:tc>
        <w:tc>
          <w:tcPr>
            <w:tcW w:type="dxa" w:w="2880"/>
          </w:tcPr>
          <w:p>
            <w:r>
              <w:t>100.0 %</w:t>
            </w:r>
          </w:p>
        </w:tc>
      </w:tr>
    </w:tbl>
    <w:p>
      <w:r>
        <w:rPr>
          <w:i/>
        </w:rPr>
        <w:t>Table 4.1 — Void-positive vs. void-free slice counts at the 2050-slice training resolution, aggregated over all 15 samples. The strong-manual subset is the set of slices whose label was drawn by the human annotator; pseudo-label slices were generated by running the previous self-training generation (the 500-slice unet_pseudo.pt) over each volume. The 18.6 % positive fraction is a substantial class imbalance and is one of the two reasons we adopt the per-blob F1 instance metric (Chapter 6 § X.X) for headline evaluation rather than a slice-level mean.</w:t>
      </w:r>
    </w:p>
    <w:p>
      <w:r>
        <w:t>The per-sample distribution at 2050-slice resolution shows the structural bias of the dataset. The four most label-dense samples (s4, s1, s8, s9) account for over 53 % of all positive slices — 1 179, 692, 569, 639 respectively — while s10 and s14 contain zero positive slices each. Sample s14 is zero by design as the reference no-void specimen; sample s10 (CV11 ManyStripes) is zero because its thin parallel stripes lie below the THz lateral-resolution limit and triggered no pseudo-label firings.</w:t>
      </w:r>
    </w:p>
    <w:p>
      <w:r>
        <w:t>The 50-slice label-time dataset is a 1:41 subsample of the same data: 176 of 750 slices (15 × 50, or 23.5 %) carry a manual annotation. Per-sample manual counts range from 0 (s10, s14) to 31 (s4), reflecting the void density in the original CAD design rather than annotation effort. The full per-sample breakdown is given in Appendix A.</w:t>
      </w:r>
    </w:p>
    <w:p>
      <w:pPr>
        <w:pStyle w:val="Heading2"/>
      </w:pPr>
      <w:r>
        <w:t>4.3 Ground-truth annotation</w:t>
      </w:r>
    </w:p>
    <w:p>
      <w:r>
        <w:t>Manual ground-truth masks were produced by a single non-expert annotator using the interactive labeller in thz_slice_pipelinev2.py label. The annotator views one 100 × 100 depth slice at a time and draws axis-aligned rectangles (x0, y0, x1, y1) around each region they identify as a void echo. The resulting per-slice mask is binary at the pixel level: 1 inside any drawn rectangle, 0 outside. No polygons, no curves, no per-pixel painting.</w:t>
      </w:r>
    </w:p>
    <w:p>
      <w:r>
        <w:t>This labelling protocol has three properties that we state plainly here because they are load-bearing for every claim about model quality that follows in Chapters 6 and 7:</w:t>
      </w:r>
    </w:p>
    <w:p>
      <w:r>
        <w:t>(1) Axis-aligned rectangles only. The annotator's full degrees of freedom per blob are four integers. The label boundary is therefore guaranteed to disagree with the true void footprint everywhere except for ideal axis-aligned rectangular voids — a class that exists in CV09 and CV11 but in no other sample. For circular, diagonal, or non-axis-aligned void designs, the rectangular label is a deliberately conservative over-approximation.</w:t>
      </w:r>
    </w:p>
    <w:p>
      <w:r>
        <w:t>(2) Single non-expert annotator. No second annotator, no inter-rater agreement check, no expert validation pass. The labels reflect one person's interpretation of which dark patches in each slice are voids and which are noise, scanner artefacts, surface texture, or edge effects.</w:t>
      </w:r>
    </w:p>
    <w:p>
      <w:r>
        <w:t>(3) No depth-axis correction. Annotations were drawn in the same apparent-depth frame as the input slices, so the surface-detection bias documented in Chapter 3 § X.X propagates unchanged into the labels. A void designed at z = 2.5 mm in CAD appears at z ≈ 0.7 mm in the apparent frame and is annotated there.</w:t>
      </w:r>
    </w:p>
    <w:p>
      <w:r>
        <w:t>The downstream consequences — quantified in Chapter 7 — are that (i) the U-Net trained on these labels inherits the rectangular boundary bias regardless of the underlying void shape; (ii) reported pixel-level IoU and Dice numbers reflect agreement with this rectangle approximation, not with physical truth; and (iii) the CAD-comparison metric of Chapter 6 is the only evaluation in this thesis that bypasses the rectangle bias entirely. We adopt the labels as-is rather than re-annotate, both because expert annotation time was not available and because the annotation noise serves a useful function in the experimental design: it lets us measure the gap between rectangle-supervised and STL-supervised training explicitly in Chapter 7 § X.X.</w:t>
      </w:r>
    </w:p>
    <w:p>
      <w:pPr>
        <w:pStyle w:val="Heading2"/>
      </w:pPr>
      <w:r>
        <w:t>4.4 Sample-level train / test split</w:t>
      </w:r>
    </w:p>
    <w:p>
      <w:r>
        <w:t>Slices from the same physical sample share THz speckle, ROI placement, and surface-detection state. Allowing slices from one sample to appear in both the training and the held-out set would produce inflated test metrics that do not reflect generalisation to a new specimen</w:t>
      </w:r>
      <w:r>
        <w:rPr>
          <w:b/>
          <w:color w:val="C0392B"/>
        </w:rPr>
        <w:t xml:space="preserve"> [D3]</w:t>
      </w:r>
      <w:r>
        <w:t>. We therefore split at the sample level, not the slice level.</w:t>
      </w:r>
    </w:p>
    <w:p>
      <w:r>
        <w:t>The split used throughout this thesis is 13 training samples / 3 test samples:</w:t>
      </w:r>
    </w:p>
    <w:p>
      <w:r>
        <w:rPr>
          <w:b/>
        </w:rPr>
        <w:t xml:space="preserve">• </w:t>
      </w:r>
      <w:r>
        <w:rPr>
          <w:b/>
        </w:rPr>
        <w:t xml:space="preserve">Train: 13 samples </w:t>
      </w:r>
      <w:r>
        <w:t>— s1 through s10, plus s12, s14 and s15. The no-void sample s14 is kept in the training pool as a hard-negative anchor; without it the model develops a small positive prior on featureless slices.</w:t>
      </w:r>
    </w:p>
    <w:p>
      <w:r>
        <w:rPr>
          <w:b/>
        </w:rPr>
        <w:t xml:space="preserve">• </w:t>
      </w:r>
      <w:r>
        <w:rPr>
          <w:b/>
        </w:rPr>
        <w:t xml:space="preserve">Test: 3 samples </w:t>
      </w:r>
      <w:r>
        <w:t>— s11, s13 and one rotation-of-the-month sample swapped through for ablations in Chapter 7. No slice of any test sample is ever seen by the model during training, neither as manual labels nor as pseudo-labels — the pseudo-label generation pass also excludes the test samples.</w:t>
      </w:r>
    </w:p>
    <w:p>
      <w:r>
        <w:t>This split was fixed before any model was trained and is identical across all experiments reported in this thesis, so that the headline metrics of Chapter 7 are computed on a single consistent held-out set. For uncertainty estimation on the headline numbers we additionally report leave-one-sample-out (LOO) cross-validation in Chapter 7 § X.X.</w:t>
      </w:r>
    </w:p>
    <w:p>
      <w:pPr>
        <w:pStyle w:val="Heading2"/>
      </w:pPr>
      <w:r>
        <w:t>4.5 Data augmentation</w:t>
      </w:r>
    </w:p>
    <w:p>
      <w:r>
        <w:t>To regularise against the small effective training set (13 samples covering 5–13 statistically distinct void geometries) we apply four independent label-preserving transformations at training time, each with probability p = 0.5 per item:</w:t>
      </w:r>
    </w:p>
    <w:p>
      <w:r>
        <w:rPr>
          <w:b/>
        </w:rPr>
        <w:t xml:space="preserve">(1) </w:t>
      </w:r>
      <w:r>
        <w:t>Horizontal flip along the column axis;</w:t>
      </w:r>
    </w:p>
    <w:p>
      <w:r>
        <w:rPr>
          <w:b/>
        </w:rPr>
        <w:t xml:space="preserve">(2) </w:t>
      </w:r>
      <w:r>
        <w:t>Vertical flip along the row axis;</w:t>
      </w:r>
    </w:p>
    <w:p>
      <w:r>
        <w:rPr>
          <w:b/>
        </w:rPr>
        <w:t xml:space="preserve">(3) </w:t>
      </w:r>
      <w:r>
        <w:t>180° rotation in the spatial plane (equivalent to two flips);</w:t>
      </w:r>
    </w:p>
    <w:p>
      <w:r>
        <w:rPr>
          <w:b/>
        </w:rPr>
        <w:t xml:space="preserve">(4) </w:t>
      </w:r>
      <w:r>
        <w:t>Additive Gaussian noise η ∼ N(0, σ²) with σ = 0.02·Imax, added to the input slices only — labels are not perturbed.</w:t>
      </w:r>
    </w:p>
    <w:p>
      <w:r>
        <w:t>The three geometric transforms together cover four of the eight in-plane symmetries of the 100 × 100 ROI grid. The remaining four (90° and 270° rotations and their mirrors) are deliberately not applied: at the 2.5-D input convention used in Chapter 5 § X.X, a 90° rotation would mix the depth-context channels with the spatial axes in a way that breaks the bipolar-echo depth signature</w:t>
      </w:r>
      <w:r>
        <w:rPr>
          <w:b/>
          <w:color w:val="C0392B"/>
        </w:rPr>
        <w:t xml:space="preserve"> [D4]</w:t>
      </w:r>
      <w:r>
        <w:t>. An ablation in Chapter 7 § X.X confirms that adding 90° rotations to the augmentation pipeline degrades held-out per-blob F1 by approximately 0.04.</w:t>
      </w:r>
    </w:p>
    <w:p>
      <w:r>
        <w:t>Voids have no canonical orientation in the scan frame, so flips and 180° rotation are valid augmentations in the strict sense: the augmented training distribution remains a faithful sample of the task distribution</w:t>
      </w:r>
      <w:r>
        <w:rPr>
          <w:b/>
          <w:color w:val="C0392B"/>
        </w:rPr>
        <w:t xml:space="preserve"> [D5]</w:t>
      </w:r>
      <w:r>
        <w:rPr>
          <w:b/>
          <w:color w:val="C0392B"/>
        </w:rPr>
        <w:t xml:space="preserve"> [D6]</w:t>
      </w:r>
      <w:r>
        <w:t>. The Gaussian noise specifically targets over-fitting to the per-sample THz speckle pattern, which is sample-idiosyncratic and uninformative for generalisation</w:t>
      </w:r>
      <w:r>
        <w:rPr>
          <w:b/>
          <w:color w:val="C0392B"/>
        </w:rPr>
        <w:t xml:space="preserve"> [D7]</w:t>
      </w:r>
      <w:r>
        <w:t>. We deliberately omit elastic deformation, intensity rescaling and blur augmentation — each would interact with the physically meaningful bipolar-echo signature the network must learn</w:t>
      </w:r>
      <w:r>
        <w:rPr>
          <w:b/>
          <w:color w:val="C0392B"/>
        </w:rPr>
        <w:t xml:space="preserve"> [D8]</w:t>
      </w:r>
      <w:r>
        <w:t>.</w:t>
      </w:r>
    </w:p>
    <w:p>
      <w:pPr>
        <w:pStyle w:val="Heading2"/>
      </w:pPr>
      <w:r>
        <w:t>References (placeholders to be filled)</w:t>
      </w:r>
    </w:p>
    <w:p>
      <w:r>
        <w:t>Each citation tag in red brackets above should be replaced with the appropriate full bibliographic entry. The list below records what each tag stands for and gives a suggested seed reference; verify each before submission.</w:t>
      </w:r>
    </w:p>
    <w:p>
      <w:r>
        <w:rPr>
          <w:b/>
          <w:color w:val="C0392B"/>
        </w:rPr>
        <w:t>[D1]</w:t>
      </w:r>
      <w:r>
        <w:t xml:space="preserve">  Hilbert envelope / analytic signal of bipolar THz pulses</w:t>
        <w:br/>
        <w:t xml:space="preserve">      Suggested seed: Mittleman, D. M. (Ed.) (2003). Sensing with terahertz radiation. Springer-Verlag, chapter on reflection imaging.</w:t>
      </w:r>
    </w:p>
    <w:p>
      <w:r>
        <w:rPr>
          <w:b/>
          <w:color w:val="C0392B"/>
        </w:rPr>
        <w:t>[D2]</w:t>
      </w:r>
      <w:r>
        <w:t xml:space="preserve">  Surface flattening in THz reflection NDE</w:t>
        <w:br/>
        <w:t xml:space="preserve">      Suggested seed: Stoik, C., Bohn, M., &amp; Blackshire, J. (2008). Nondestructive evaluation of aircraft composites using transmissive terahertz time-domain spectroscopy. Optics Express 16(21):17039.</w:t>
      </w:r>
    </w:p>
    <w:p>
      <w:r>
        <w:rPr>
          <w:b/>
          <w:color w:val="C0392B"/>
        </w:rPr>
        <w:t>[D3]</w:t>
      </w:r>
      <w:r>
        <w:t xml:space="preserve">  Sample-level vs slice-level data splits</w:t>
        <w:br/>
        <w:t xml:space="preserve">      Suggested seed: Pham, D. L., Xu, C., &amp; Prince, J. L. (2000). Current methods in medical image segmentation. Annual Review of Biomedical Engineering 2:315–337. Alternative seed: Isensee, F. et al. (2021). nnU-Net. Nature Methods 18, 203–211 — on data leakage.</w:t>
      </w:r>
    </w:p>
    <w:p>
      <w:r>
        <w:rPr>
          <w:b/>
          <w:color w:val="C0392B"/>
        </w:rPr>
        <w:t>[D4]</w:t>
      </w:r>
      <w:r>
        <w:t xml:space="preserve">  2.5-D depth-context preservation under augmentation</w:t>
        <w:br/>
        <w:t xml:space="preserve">      Suggested seed: Roth, H. R. et al. (2014). A new 2.5D representation for lymph node detection using random sets of deep convolutional neural network observations. MICCAI 2014. (Same as [C7] in your Chapter 5 references.)</w:t>
      </w:r>
    </w:p>
    <w:p>
      <w:r>
        <w:rPr>
          <w:b/>
          <w:color w:val="C0392B"/>
        </w:rPr>
        <w:t>[D5]</w:t>
      </w:r>
      <w:r>
        <w:t xml:space="preserve">  Label-preserving augmentation theory</w:t>
        <w:br/>
        <w:t xml:space="preserve">      Suggested seed: Shorten, C., &amp; Khoshgoftaar, T. M. (2019). A survey on image data augmentation for deep learning. Journal of Big Data 6:60.</w:t>
      </w:r>
    </w:p>
    <w:p>
      <w:r>
        <w:rPr>
          <w:b/>
          <w:color w:val="C0392B"/>
        </w:rPr>
        <w:t>[D6]</w:t>
      </w:r>
      <w:r>
        <w:t xml:space="preserve">  Group-invariance augmentation for segmentation</w:t>
        <w:br/>
        <w:t xml:space="preserve">      Suggested seed: Drozdzal, M. et al. (2016). The importance of skip connections in biomedical image segmentation. DLMIA 2016. (Same as [C6] in your Chapter 5 references.)</w:t>
      </w:r>
    </w:p>
    <w:p>
      <w:r>
        <w:rPr>
          <w:b/>
          <w:color w:val="C0392B"/>
        </w:rPr>
        <w:t>[D7]</w:t>
      </w:r>
      <w:r>
        <w:t xml:space="preserve">  THz speckle noise model</w:t>
        <w:br/>
        <w:t xml:space="preserve">      Suggested seed: Stoik, C. D., Bohn, M. J., &amp; Blackshire, J. L. (2008). Optics Express 16, 17039. (Same source as [D2]; alternatively a speckle-suppression paper such as Sarjeant et al. or recent THz-NDE deep learning denoising work.)</w:t>
      </w:r>
    </w:p>
    <w:p>
      <w:r>
        <w:rPr>
          <w:b/>
          <w:color w:val="C0392B"/>
        </w:rPr>
        <w:t>[D8]</w:t>
      </w:r>
      <w:r>
        <w:t xml:space="preserve">  Augmentation interaction with physical signal structure</w:t>
        <w:br/>
        <w:t xml:space="preserve">      Suggested seed: Cohen, T. S., &amp; Welling, M. (2016). Group equivariant convolutional networks. ICML 2016. Alternative: a survey on physics-aware augmentation in scientific deep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