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Chapter 5 — Segmentation Model and Methodology</w:t>
      </w:r>
    </w:p>
    <w:p>
      <w:r>
        <w:t>This chapter describes the convolutional neural network used to localise internal voids in the THz depth-slice volumes introduced in Chapter 4. We adopt a 2.5-D variant of the U-Net architecture, train it with a combined binary-cross-entropy and Dice loss, and reason about each design choice in the context of the limited labelled data and the bipolar-echo physics of THz reflection imaging.</w:t>
      </w:r>
    </w:p>
    <w:p>
      <w:pPr>
        <w:pStyle w:val="Heading2"/>
      </w:pPr>
      <w:r>
        <w:t>5.1 U-Net architecture</w:t>
      </w:r>
    </w:p>
    <w:p>
      <w:r>
        <w:t>The void-segmentation model is a two-dimensional convolutional encoder–decoder of the U-Net family</w:t>
      </w:r>
      <w:r>
        <w:rPr>
          <w:b/>
          <w:color w:val="C0392B"/>
        </w:rPr>
        <w:t xml:space="preserve"> [C1]</w:t>
      </w:r>
      <w:r>
        <w:t>. The network operates on individual depth slices of the THz volume and produces a per-pixel void-probability map at the same spatial resolution as the input. The total parameter count is 1,928,993 (≈ 7.4 MB on disk in float32), modest by contemporary segmentation standards and chosen to allow training from scratch with the limited number of labelled THz samples available without over-parameterisation.</w:t>
      </w:r>
      <w:r>
        <w:rPr>
          <w:b/>
          <w:color w:val="C0392B"/>
        </w:rPr>
        <w:t xml:space="preserve"> [C2]</w:t>
      </w:r>
    </w:p>
    <w:p>
      <w:pPr>
        <w:pStyle w:val="Heading3"/>
      </w:pPr>
      <w:r>
        <w:t>5.1.1 Three-level encoder–decoder and channel progression</w:t>
      </w:r>
    </w:p>
    <w:p>
      <w:r>
        <w:t>The encoder reduces the spatial resolution through three max-pooling stages, doubling the channel count at each level. The decoder symmetrically upsamples through three transposed-convolution stages, halving the channel count at each level. With the base filter count F = 32, the channel progression is:</w:t>
      </w:r>
    </w:p>
    <w:p>
      <w:r>
        <w:t xml:space="preserve">    Encoder:  5  →  32  →  64  →  128  →  256  (bottleneck)</w:t>
      </w:r>
    </w:p>
    <w:p>
      <w:r>
        <w:t xml:space="preserve">    Decoder:  256  →  128  →  64  →  32  →  1  (output sigmoid logit)</w:t>
      </w:r>
    </w:p>
    <w:p>
      <w:r>
        <w:t>Each level uses a DoubleConv block — two consecutive Conv2D → BatchNorm → ReLU operations with kernel size 3 — following the original U-Net design pattern</w:t>
      </w:r>
      <w:r>
        <w:rPr>
          <w:b/>
          <w:color w:val="C0392B"/>
        </w:rPr>
        <w:t xml:space="preserve"> [C1]</w:t>
      </w:r>
      <w:r>
        <w:t>. Batch normalisation</w:t>
      </w:r>
      <w:r>
        <w:rPr>
          <w:b/>
          <w:color w:val="C0392B"/>
        </w:rPr>
        <w:t xml:space="preserve"> [C3]</w:t>
      </w:r>
      <w:r>
        <w:t xml:space="preserve"> stabilises training under the small batch size dictated by GPU memory (§ 5.4). The non-linearity is the standard rectified linear unit</w:t>
      </w:r>
      <w:r>
        <w:rPr>
          <w:b/>
          <w:color w:val="C0392B"/>
        </w:rPr>
        <w:t xml:space="preserve"> [C4]</w:t>
      </w:r>
      <w:r>
        <w:t>, initialised with the He scheme</w:t>
      </w:r>
      <w:r>
        <w:rPr>
          <w:b/>
          <w:color w:val="C0392B"/>
        </w:rPr>
        <w:t xml:space="preserve"> [C5]</w:t>
      </w:r>
      <w:r>
        <w:t xml:space="preserve"> to match the variance assumption of ReLU networks.</w:t>
      </w:r>
    </w:p>
    <w:p>
      <w:pPr>
        <w:pStyle w:val="Heading3"/>
      </w:pPr>
      <w:r>
        <w:t>5.1.2 Skip connections</w:t>
      </w:r>
    </w:p>
    <w:p>
      <w:r>
        <w:t>Skip connections concatenate the encoder feature maps with the decoder upsampling output at each resolution level. This preserves the fine spatial detail that would otherwise be lost during pooling and allows the decoder to recover sharp object boundaries — a property of U-Net that has been established across medical, satellite, and microscopy segmentation benchmarks</w:t>
      </w:r>
      <w:r>
        <w:rPr>
          <w:b/>
          <w:color w:val="C0392B"/>
        </w:rPr>
        <w:t xml:space="preserve"> [C1]</w:t>
      </w:r>
      <w:r/>
      <w:r>
        <w:rPr>
          <w:b/>
          <w:color w:val="C0392B"/>
        </w:rPr>
        <w:t xml:space="preserve"> [C6]</w:t>
      </w:r>
      <w:r>
        <w:t>. In our setting the skip pathways are essential for resolving void edges that are &lt; 1 mm across in the lateral plane, which after a single pooling stage would already span fewer than 3 feature-map pixels.</w:t>
      </w:r>
    </w:p>
    <w:p>
      <w:pPr>
        <w:pStyle w:val="Heading3"/>
      </w:pPr>
      <w:r>
        <w:t>5.1.3 Pooling, upsampling, and shape handling</w:t>
      </w:r>
    </w:p>
    <w:p>
      <w:r>
        <w:t>Downsampling uses 2×2 max-pooling; upsampling uses 2×2 transposed convolutions with stride 2. The total downsampling factor over three levels is 8, so the input spatial dimensions are reflect-padded at ingress to ensure divisibility by 8. The output is cropped back to the original 100 × 100 resolution before the sigmoid activation, so the model is shape-agnostic and the same checkpoint can be applied to other ROI sizes without retraining.</w:t>
      </w:r>
    </w:p>
    <w:p>
      <w:pPr>
        <w:pStyle w:val="Heading2"/>
      </w:pPr>
      <w:r>
        <w:t>5.2 Five-channel depth-context input (2.5-D)</w:t>
      </w:r>
    </w:p>
    <w:p>
      <w:r>
        <w:t>Each prediction is conditioned on the target depth slice plus its two neighbours on either side, yielding a five-channel input tensor of shape (5, 100, 100). For a target slice index i, the input channels are the slices at depths i − 2 k, i − k, i, i + k, i + 2 k, where the depth step k is scaled to the slice grid (k = 1, 5, 20 for the 50-, 500-, 2050-slice variants respectively) so that the physical depth window remains approximately ± 0.084 mm across all variants. This 2.5-D paradigm — using a small stack of neighbouring 2-D slices instead of full 3-D convolutions — is a deliberate trade-off between architectural complexity, computational cost, and the limited training data available</w:t>
      </w:r>
      <w:r>
        <w:rPr>
          <w:b/>
          <w:color w:val="C0392B"/>
        </w:rPr>
        <w:t xml:space="preserve"> [C7]</w:t>
      </w:r>
      <w:r/>
      <w:r>
        <w:rPr>
          <w:b/>
          <w:color w:val="C0392B"/>
        </w:rPr>
        <w:t xml:space="preserve"> [C8]</w:t>
      </w:r>
      <w:r>
        <w:t>. We motivate the choice with four arguments.</w:t>
      </w:r>
    </w:p>
    <w:p>
      <w:pPr>
        <w:pStyle w:val="Heading3"/>
      </w:pPr>
      <w:r>
        <w:t>5.2.1 Computational efficiency</w:t>
      </w:r>
    </w:p>
    <w:p>
      <w:r>
        <w:t>Three-dimensional U-Nets</w:t>
      </w:r>
      <w:r>
        <w:rPr>
          <w:b/>
          <w:color w:val="C0392B"/>
        </w:rPr>
        <w:t xml:space="preserve"> [C9]</w:t>
      </w:r>
      <w:r>
        <w:t xml:space="preserve"> extend each spatial convolution to operate over the depth axis as well, multiplying the per-layer parameter count by the depth kernel size and the per-layer activation memory by the depth of the volume. For the present problem the equivalent 3-D U-Net would carry approximately 5.8 M parameters and require an order of magnitude more activation memory than the 1.93 M-parameter 2.5-D variant adopted here, with no expected gain in accuracy given the available label volume.</w:t>
      </w:r>
    </w:p>
    <w:p>
      <w:pPr>
        <w:pStyle w:val="Heading3"/>
      </w:pPr>
      <w:r>
        <w:t>5.2.2 Data efficiency</w:t>
      </w:r>
    </w:p>
    <w:p>
      <w:r>
        <w:t>Full 3-D segmentation requires fully labelled 3-D volumes. The manual labels in this work are produced per-slice by a human annotator drawing rectangles on individual depth images; the labelling protocol naturally yields 2-D supervision and does not produce densely labelled 3-D volumes. The 2.5-D approach matches the dimensionality of the available supervision while still giving the model local depth context that distinguishes a void echo (which appears at a particular depth and decays above and below) from random spatial features (which would appear uniformly across depth).</w:t>
      </w:r>
    </w:p>
    <w:p>
      <w:pPr>
        <w:pStyle w:val="Heading3"/>
      </w:pPr>
      <w:r>
        <w:t>5.2.3 Physical interpretation</w:t>
      </w:r>
    </w:p>
    <w:p>
      <w:r>
        <w:t>A void in a THz reflection scan produces a bipolar echo centred at the void depth, characterised by the leading positive and trailing negative lobes of the Hilbert envelope</w:t>
      </w:r>
      <w:r>
        <w:rPr>
          <w:b/>
          <w:color w:val="C0392B"/>
        </w:rPr>
        <w:t xml:space="preserve"> [C10]</w:t>
      </w:r>
      <w:r>
        <w:t>. The five-channel input gives the first convolutional kernel direct access to this depth-derivative signature without requiring a 3-D filter to learn it. The choice of two neighbours on either side balances coverage of the bipolar pulse against the spatial-resolution cost of channel dimensionality; smaller windows lose the signature, larger windows over-smooth.</w:t>
      </w:r>
    </w:p>
    <w:p>
      <w:pPr>
        <w:pStyle w:val="Heading3"/>
      </w:pPr>
      <w:r>
        <w:t>5.2.4 Avoidance of inter-slice label leakage</w:t>
      </w:r>
    </w:p>
    <w:p>
      <w:r>
        <w:t>In 3-D U-Nets trained on sparse labels, the network can learn to interpolate labels through unlabelled depth slices, producing spurious axial continuity. The per-slice 2.5-D formulation decouples depth-axis decisions across slices; inter-slice consistency that is genuinely desired is recovered downstream by the per-blob 3-D extraction stage (Chapter 6, § 6.X), which thresholds the per-slice probability volume and extracts connected components in 2-D before depth-profiling them post-hoc.</w:t>
      </w:r>
    </w:p>
    <w:p>
      <w:pPr>
        <w:pStyle w:val="Heading2"/>
      </w:pPr>
      <w:r>
        <w:t>5.3 Combined BCE-Dice loss</w:t>
      </w:r>
    </w:p>
    <w:p>
      <w:r>
        <w:t>The training objective is a weighted sum of pixel-wise binary cross-entropy (BCE) and the soft Dice loss:</w:t>
      </w:r>
    </w:p>
    <w:p>
      <w:r>
        <w:t xml:space="preserve">    L(y, ŷ) = α · BCE(σ(ŷ), y) + (1 − α) · (1 − Dice(σ(ŷ), y)),</w:t>
      </w:r>
    </w:p>
    <w:p>
      <w:r>
        <w:t>with σ(·) the sigmoid activation, ŷ the network logits, y the binary (or, in the STL-supervised variant of Chapter 6, soft) target, and α = 0.5. The two terms are complementary</w:t>
      </w:r>
      <w:r>
        <w:rPr>
          <w:b/>
          <w:color w:val="C0392B"/>
        </w:rPr>
        <w:t xml:space="preserve"> [C11]</w:t>
      </w:r>
      <w:r/>
      <w:r>
        <w:rPr>
          <w:b/>
          <w:color w:val="C0392B"/>
        </w:rPr>
        <w:t xml:space="preserve"> [C12]</w:t>
      </w:r>
      <w:r/>
      <w:r>
        <w:rPr>
          <w:b/>
          <w:color w:val="C0392B"/>
        </w:rPr>
        <w:t xml:space="preserve"> [C13]</w:t>
      </w:r>
      <w:r>
        <w:t>.</w:t>
      </w:r>
    </w:p>
    <w:p>
      <w:r>
        <w:t>Binary cross-entropy provides a stable per-pixel gradient regardless of class balance and is the de-facto baseline for binary segmentation. Its limitation in this task is that the loss can be dominated by background pixels — the void-to-background ratio in our labelled slices is approximately 1 : 50 — pushing the model toward an under-predicting solution.</w:t>
      </w:r>
    </w:p>
    <w:p>
      <w:r>
        <w:t>The soft Dice loss</w:t>
      </w:r>
      <w:r>
        <w:rPr>
          <w:b/>
          <w:color w:val="C0392B"/>
        </w:rPr>
        <w:t xml:space="preserve"> [C12]</w:t>
      </w:r>
      <w:r>
        <w:t>, the differentiable relaxation of the Dice similarity coefficient, is invariant to class imbalance and directly optimises the segmentation overlap metric used at evaluation time. Its limitation is unstable gradients in early training, when predictions are nearly uniform and the soft-Dice denominator is small.</w:t>
      </w:r>
    </w:p>
    <w:p>
      <w:r>
        <w:t>The 50 : 50 weighting is the standard choice adopted by nnU-Net</w:t>
      </w:r>
      <w:r>
        <w:rPr>
          <w:b/>
          <w:color w:val="C0392B"/>
        </w:rPr>
        <w:t xml:space="preserve"> [C14]</w:t>
      </w:r>
      <w:r>
        <w:t xml:space="preserve"> and the medical-segmentation literature generally; it balances early-training stability (the BCE term) against final-overlap quality (the Dice term). For the STL-supervised variant the target y is itself soft — a Gaussian-blurred STL z-projection in [0, 1]. Soft Dice handles soft targets natively, and BCE remains valid because targets and predictions both lie in the unit interval.</w:t>
      </w:r>
    </w:p>
    <w:p>
      <w:pPr>
        <w:pStyle w:val="Heading2"/>
      </w:pPr>
      <w:r>
        <w:t>5.4 Training setup (unet_pseudo_2050.pt)</w:t>
      </w:r>
    </w:p>
    <w:p>
      <w:r>
        <w:t>The production segmentation model reported in this thesis was trained on the atlanta2 dataset at full time-axis resolution (2050 depth slices per sample), supervised by a combination of human-labelled and pseudo-labelled depth slices. Training is performed by retrain_pseudo.py and follows the iterative self-training protocol described in § 5.5. The hyperparameters and runtime are summarised in Table 5.1 below. All numerical values match those recorded in the checkpoint metadata of results_v2_atlanta2/unet_pseudo_2050.pt.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Notes / reference</w:t>
            </w:r>
          </w:p>
        </w:tc>
      </w:tr>
      <w:tr>
        <w:tc>
          <w:tcPr>
            <w:tcW w:type="dxa" w:w="2880"/>
          </w:tcPr>
          <w:p>
            <w:r>
              <w:t>Optimiser</w:t>
            </w:r>
          </w:p>
        </w:tc>
        <w:tc>
          <w:tcPr>
            <w:tcW w:type="dxa" w:w="2880"/>
          </w:tcPr>
          <w:p>
            <w:r>
              <w:t>Adam (β₁ = 0.9, β₂ = 0.999, ε = 10⁻⁸)</w:t>
            </w:r>
          </w:p>
        </w:tc>
        <w:tc>
          <w:tcPr>
            <w:tcW w:type="dxa" w:w="2880"/>
          </w:tcPr>
          <w:p>
            <w:r>
              <w:t>Kingma &amp; Ba 2015 [C15]</w:t>
            </w:r>
          </w:p>
        </w:tc>
      </w:tr>
      <w:tr>
        <w:tc>
          <w:tcPr>
            <w:tcW w:type="dxa" w:w="2880"/>
          </w:tcPr>
          <w:p>
            <w:r>
              <w:t>Initial learning rate</w:t>
            </w:r>
          </w:p>
        </w:tc>
        <w:tc>
          <w:tcPr>
            <w:tcW w:type="dxa" w:w="2880"/>
          </w:tcPr>
          <w:p>
            <w:r>
              <w:t>1 × 10⁻³</w:t>
            </w:r>
          </w:p>
        </w:tc>
        <w:tc>
          <w:tcPr>
            <w:tcW w:type="dxa" w:w="2880"/>
          </w:tcPr>
          <w:p>
            <w:r>
              <w:t>Empirical sweep; see § 5.4.2</w:t>
            </w:r>
          </w:p>
        </w:tc>
      </w:tr>
      <w:tr>
        <w:tc>
          <w:tcPr>
            <w:tcW w:type="dxa" w:w="2880"/>
          </w:tcPr>
          <w:p>
            <w:r>
              <w:t>Weight decay</w:t>
            </w:r>
          </w:p>
        </w:tc>
        <w:tc>
          <w:tcPr>
            <w:tcW w:type="dxa" w:w="2880"/>
          </w:tcPr>
          <w:p>
            <w:r>
              <w:t>1 × 10⁻⁵</w:t>
            </w:r>
          </w:p>
        </w:tc>
        <w:tc>
          <w:tcPr>
            <w:tcW w:type="dxa" w:w="2880"/>
          </w:tcPr>
          <w:p>
            <w:r>
              <w:t>L2 regularisation</w:t>
            </w:r>
          </w:p>
        </w:tc>
      </w:tr>
      <w:tr>
        <w:tc>
          <w:tcPr>
            <w:tcW w:type="dxa" w:w="2880"/>
          </w:tcPr>
          <w:p>
            <w:r>
              <w:t>LR schedule</w:t>
            </w:r>
          </w:p>
        </w:tc>
        <w:tc>
          <w:tcPr>
            <w:tcW w:type="dxa" w:w="2880"/>
          </w:tcPr>
          <w:p>
            <w:r>
              <w:t>Cosine annealing to 0</w:t>
            </w:r>
          </w:p>
        </w:tc>
        <w:tc>
          <w:tcPr>
            <w:tcW w:type="dxa" w:w="2880"/>
          </w:tcPr>
          <w:p>
            <w:r>
              <w:t>Loshchilov &amp; Hutter 2017 [C16]</w:t>
            </w:r>
          </w:p>
        </w:tc>
      </w:tr>
      <w:tr>
        <w:tc>
          <w:tcPr>
            <w:tcW w:type="dxa" w:w="2880"/>
          </w:tcPr>
          <w:p>
            <w:r>
              <w:t>Epochs</w:t>
            </w:r>
          </w:p>
        </w:tc>
        <w:tc>
          <w:tcPr>
            <w:tcW w:type="dxa" w:w="2880"/>
          </w:tcPr>
          <w:p>
            <w:r>
              <w:t>30</w:t>
            </w:r>
          </w:p>
        </w:tc>
        <w:tc>
          <w:tcPr>
            <w:tcW w:type="dxa" w:w="2880"/>
          </w:tcPr>
          <w:p>
            <w:r>
              <w:t>one full cosine cycle</w:t>
            </w:r>
          </w:p>
        </w:tc>
      </w:tr>
      <w:tr>
        <w:tc>
          <w:tcPr>
            <w:tcW w:type="dxa" w:w="2880"/>
          </w:tcPr>
          <w:p>
            <w:r>
              <w:t>Batch size</w:t>
            </w:r>
          </w:p>
        </w:tc>
        <w:tc>
          <w:tcPr>
            <w:tcW w:type="dxa" w:w="2880"/>
          </w:tcPr>
          <w:p>
            <w:r>
              <w:t>16</w:t>
            </w:r>
          </w:p>
        </w:tc>
        <w:tc>
          <w:tcPr>
            <w:tcW w:type="dxa" w:w="2880"/>
          </w:tcPr>
          <w:p>
            <w:r>
              <w:t>fits a single 24 GB device at FP32</w:t>
            </w:r>
          </w:p>
        </w:tc>
      </w:tr>
      <w:tr>
        <w:tc>
          <w:tcPr>
            <w:tcW w:type="dxa" w:w="2880"/>
          </w:tcPr>
          <w:p>
            <w:r>
              <w:t>Loss</w:t>
            </w:r>
          </w:p>
        </w:tc>
        <w:tc>
          <w:tcPr>
            <w:tcW w:type="dxa" w:w="2880"/>
          </w:tcPr>
          <w:p>
            <w:r>
              <w:t>weighted BCE + Dice (α = 0.5)</w:t>
            </w:r>
          </w:p>
        </w:tc>
        <w:tc>
          <w:tcPr>
            <w:tcW w:type="dxa" w:w="2880"/>
          </w:tcPr>
          <w:p>
            <w:r>
              <w:t>manual ×5 / pseudo ×1; § 5.4.3</w:t>
            </w:r>
          </w:p>
        </w:tc>
      </w:tr>
      <w:tr>
        <w:tc>
          <w:tcPr>
            <w:tcW w:type="dxa" w:w="2880"/>
          </w:tcPr>
          <w:p>
            <w:r>
              <w:t>Input channels</w:t>
            </w:r>
          </w:p>
        </w:tc>
        <w:tc>
          <w:tcPr>
            <w:tcW w:type="dxa" w:w="2880"/>
          </w:tcPr>
          <w:p>
            <w:r>
              <w:t>5</w:t>
            </w:r>
          </w:p>
        </w:tc>
        <w:tc>
          <w:tcPr>
            <w:tcW w:type="dxa" w:w="2880"/>
          </w:tcPr>
          <w:p>
            <w:r>
              <w:t>target slice + offsets {−40, −20, 0, +20, +40}</w:t>
            </w:r>
          </w:p>
        </w:tc>
      </w:tr>
      <w:tr>
        <w:tc>
          <w:tcPr>
            <w:tcW w:type="dxa" w:w="2880"/>
          </w:tcPr>
          <w:p>
            <w:r>
              <w:t>Depth context window</w:t>
            </w:r>
          </w:p>
        </w:tc>
        <w:tc>
          <w:tcPr>
            <w:tcW w:type="dxa" w:w="2880"/>
          </w:tcPr>
          <w:p>
            <w:r>
              <w:t>≈ ±0.084 mm physical</w:t>
            </w:r>
          </w:p>
        </w:tc>
        <w:tc>
          <w:tcPr>
            <w:tcW w:type="dxa" w:w="2880"/>
          </w:tcPr>
          <w:p>
            <w:r>
              <w:t>2 × 40 × Δz at Δz ≈ 2.1 μm</w:t>
            </w:r>
          </w:p>
        </w:tc>
      </w:tr>
      <w:tr>
        <w:tc>
          <w:tcPr>
            <w:tcW w:type="dxa" w:w="2880"/>
          </w:tcPr>
          <w:p>
            <w:r>
              <w:t>Augmentation</w:t>
            </w:r>
          </w:p>
        </w:tc>
        <w:tc>
          <w:tcPr>
            <w:tcW w:type="dxa" w:w="2880"/>
          </w:tcPr>
          <w:p>
            <w:r>
              <w:t>H/V flip; 180° rotation; Gaussian noise σ = 0.02</w:t>
            </w:r>
          </w:p>
        </w:tc>
        <w:tc>
          <w:tcPr>
            <w:tcW w:type="dxa" w:w="2880"/>
          </w:tcPr>
          <w:p>
            <w:r>
              <w:t>Label-preserving; § 5.4.4</w:t>
            </w:r>
          </w:p>
        </w:tc>
      </w:tr>
      <w:tr>
        <w:tc>
          <w:tcPr>
            <w:tcW w:type="dxa" w:w="2880"/>
          </w:tcPr>
          <w:p>
            <w:r>
              <w:t>Initialisation</w:t>
            </w:r>
          </w:p>
        </w:tc>
        <w:tc>
          <w:tcPr>
            <w:tcW w:type="dxa" w:w="2880"/>
          </w:tcPr>
          <w:p>
            <w:r>
              <w:t>Kaiming-He uniform for Conv2D; zeros for biases</w:t>
            </w:r>
          </w:p>
        </w:tc>
        <w:tc>
          <w:tcPr>
            <w:tcW w:type="dxa" w:w="2880"/>
          </w:tcPr>
          <w:p>
            <w:r>
              <w:t>He et al. 2015 [C5]</w:t>
            </w:r>
          </w:p>
        </w:tc>
      </w:tr>
      <w:tr>
        <w:tc>
          <w:tcPr>
            <w:tcW w:type="dxa" w:w="2880"/>
          </w:tcPr>
          <w:p>
            <w:r>
              <w:t>Training items</w:t>
            </w:r>
          </w:p>
        </w:tc>
        <w:tc>
          <w:tcPr>
            <w:tcW w:type="dxa" w:w="2880"/>
          </w:tcPr>
          <w:p>
            <w:r>
              <w:t>≈ 30 750 slice-mask pairs</w:t>
            </w:r>
          </w:p>
        </w:tc>
        <w:tc>
          <w:tcPr>
            <w:tcW w:type="dxa" w:w="2880"/>
          </w:tcPr>
          <w:p>
            <w:r>
              <w:t>15 atlanta2 samples × 2050 slices, filtered</w:t>
            </w:r>
          </w:p>
        </w:tc>
      </w:tr>
      <w:tr>
        <w:tc>
          <w:tcPr>
            <w:tcW w:type="dxa" w:w="2880"/>
          </w:tcPr>
          <w:p>
            <w:r>
              <w:t>Parameter count</w:t>
            </w:r>
          </w:p>
        </w:tc>
        <w:tc>
          <w:tcPr>
            <w:tcW w:type="dxa" w:w="2880"/>
          </w:tcPr>
          <w:p>
            <w:r>
              <w:t>1 928 993</w:t>
            </w:r>
          </w:p>
        </w:tc>
        <w:tc>
          <w:tcPr>
            <w:tcW w:type="dxa" w:w="2880"/>
          </w:tcPr>
          <w:p>
            <w:r>
              <w:t>≈ 7.4 MB FP32 on disk</w:t>
            </w:r>
          </w:p>
        </w:tc>
      </w:tr>
      <w:tr>
        <w:tc>
          <w:tcPr>
            <w:tcW w:type="dxa" w:w="2880"/>
          </w:tcPr>
          <w:p>
            <w:r>
              <w:t>Hardware (run)</w:t>
            </w:r>
          </w:p>
        </w:tc>
        <w:tc>
          <w:tcPr>
            <w:tcW w:type="dxa" w:w="2880"/>
          </w:tcPr>
          <w:p>
            <w:r>
              <w:t>Apple M-series silicon, PyTorch MPS backend</w:t>
            </w:r>
          </w:p>
        </w:tc>
        <w:tc>
          <w:tcPr>
            <w:tcW w:type="dxa" w:w="2880"/>
          </w:tcPr>
          <w:p>
            <w:r>
              <w:t>≈ 1.9 min epoch⁻¹</w:t>
            </w:r>
          </w:p>
        </w:tc>
      </w:tr>
      <w:tr>
        <w:tc>
          <w:tcPr>
            <w:tcW w:type="dxa" w:w="2880"/>
          </w:tcPr>
          <w:p>
            <w:r>
              <w:t>Hardware (target)</w:t>
            </w:r>
          </w:p>
        </w:tc>
        <w:tc>
          <w:tcPr>
            <w:tcW w:type="dxa" w:w="2880"/>
          </w:tcPr>
          <w:p>
            <w:r>
              <w:t>NVIDIA RTX 3090 (24 GB CUDA)</w:t>
            </w:r>
          </w:p>
        </w:tc>
        <w:tc>
          <w:tcPr>
            <w:tcW w:type="dxa" w:w="2880"/>
          </w:tcPr>
          <w:p>
            <w:r>
              <w:t>expected ≈ 0.4 min epoch⁻¹</w:t>
            </w:r>
          </w:p>
        </w:tc>
      </w:tr>
      <w:tr>
        <w:tc>
          <w:tcPr>
            <w:tcW w:type="dxa" w:w="2880"/>
          </w:tcPr>
          <w:p>
            <w:r>
              <w:t>Total wall-clock</w:t>
            </w:r>
          </w:p>
        </w:tc>
        <w:tc>
          <w:tcPr>
            <w:tcW w:type="dxa" w:w="2880"/>
          </w:tcPr>
          <w:p>
            <w:r>
              <w:t>≈ 57 min on MPS (full 30-epoch run)</w:t>
            </w:r>
          </w:p>
        </w:tc>
        <w:tc>
          <w:tcPr>
            <w:tcW w:type="dxa" w:w="2880"/>
          </w:tcPr>
          <w:p>
            <w:r>
              <w:t>no early stopping</w:t>
            </w:r>
          </w:p>
        </w:tc>
      </w:tr>
      <w:tr>
        <w:tc>
          <w:tcPr>
            <w:tcW w:type="dxa" w:w="2880"/>
          </w:tcPr>
          <w:p>
            <w:r>
              <w:t>Final train loss / Dice / IoU</w:t>
            </w:r>
          </w:p>
        </w:tc>
        <w:tc>
          <w:tcPr>
            <w:tcW w:type="dxa" w:w="2880"/>
          </w:tcPr>
          <w:p>
            <w:r>
              <w:t>0.0231 / 0.9775 / 0.9674</w:t>
            </w:r>
          </w:p>
        </w:tc>
        <w:tc>
          <w:tcPr>
            <w:tcW w:type="dxa" w:w="2880"/>
          </w:tcPr>
          <w:p>
            <w:r>
              <w:t>from saved history</w:t>
            </w:r>
          </w:p>
        </w:tc>
      </w:tr>
    </w:tbl>
    <w:p>
      <w:r>
        <w:rPr>
          <w:i/>
        </w:rPr>
        <w:t>Table 5.1 — Training configuration of unet_pseudo_2050.pt. The full sweep of 30 × ≈ 30 750 ≈ 922 500 gradient items completes in under one hour on consumer hardware.</w:t>
      </w:r>
    </w:p>
    <w:p>
      <w:pPr>
        <w:pStyle w:val="Heading3"/>
      </w:pPr>
      <w:r>
        <w:t>5.4.1 Optimiser, learning-rate schedule and convergence</w:t>
      </w:r>
    </w:p>
    <w:p>
      <w:r>
        <w:t>We use the Adam optimiser</w:t>
      </w:r>
      <w:r>
        <w:rPr>
          <w:b/>
          <w:color w:val="C0392B"/>
        </w:rPr>
        <w:t xml:space="preserve"> [C15]</w:t>
      </w:r>
      <w:r>
        <w:t xml:space="preserve"> with the default momentum coefficients (β₁ = 0.9, β₂ = 0.999, ε = 10⁻⁸) and a weight decay of 1 × 10⁻⁵, applied uniformly to all trainable parameters. No manual gradient clipping is employed. The initial learning rate of 1 × 10⁻³ is decayed smoothly to zero across the 30 training epochs using a cosine annealing schedule</w:t>
      </w:r>
      <w:r>
        <w:rPr>
          <w:b/>
          <w:color w:val="C0392B"/>
        </w:rPr>
        <w:t xml:space="preserve"> [C16]</w:t>
      </w:r>
      <w:r>
        <w:t>, without warm restarts. The first epoch achieves a training Dice of approximately 0.91 on the weighted distribution, indicating the network locks onto the void / background distinction very quickly when initialised from a pseudo-label pre-trained checkpoint (§ 5.5). The training trajectory is monotonically improving in Dice and IoU and reaches a saturation plateau by epoch ≈ 25. Final training metrics are loss = 0.0231, Dice = 0.9775, IoU = 0.9674; these are training-set metrics, and the per-blob F₁ against the STL CAD ground truth reported in Chapter 7 is the held-out evaluation.</w:t>
      </w:r>
    </w:p>
    <w:p>
      <w:pPr>
        <w:pStyle w:val="Heading3"/>
      </w:pPr>
      <w:r>
        <w:t>5.4.2 Batch size and per-step gradient noise</w:t>
      </w:r>
    </w:p>
    <w:p>
      <w:r>
        <w:t>The batch size of 16 balances three constraints</w:t>
      </w:r>
      <w:r>
        <w:rPr>
          <w:b/>
          <w:color w:val="C0392B"/>
        </w:rPr>
        <w:t xml:space="preserve"> [T4]</w:t>
      </w:r>
      <w:r>
        <w:t>. First, each item is a (5, 100, 100) tensor with a (1, 100, 100) float mask; the per-batch activation memory at FP32 is approximately 280 MB activations plus 30 MB weights and gradients, comfortably within a single 24 GB device. Second, the dataset of ≈ 30 750 items yields ≈ 1 920 gradient steps per epoch — sufficient mini-batch stochasticity to escape narrow local minima without destabilising the high-recall solution. Third, empirical sweeps showed that batches of 32 or larger produced slightly tighter training Dice but a measurable drop in held-out per-blob F₁; a small-batch high-noise regime is preferred for segmentation with limited samples</w:t>
      </w:r>
      <w:r>
        <w:rPr>
          <w:b/>
          <w:color w:val="C0392B"/>
        </w:rPr>
        <w:t xml:space="preserve"> [T5]</w:t>
      </w:r>
      <w:r>
        <w:t>.</w:t>
      </w:r>
    </w:p>
    <w:p>
      <w:pPr>
        <w:pStyle w:val="Heading3"/>
      </w:pPr>
      <w:r>
        <w:t>5.4.3 Loss weighting and the manual / pseudo distinction</w:t>
      </w:r>
    </w:p>
    <w:p>
      <w:r>
        <w:t>The training corpus mixes two supervision sources: (i) hand-drawn rectangular masks from a human annotator (176 positive slices, mapped from the 50-slice manual grid onto the 2050-slice grid by nearest-depth assignment), and (ii) pseudo-labels produced by the previous self-training generation (unet_pseudo.pt, the 500-slice model — see § 5.5). Each training item carries a per-item weight: w_manual = 5, w_pseudo = 1. The loss aggregator computes the per-item BCE-Dice and forms the weighted batch mean.</w:t>
      </w:r>
    </w:p>
    <w:p>
      <w:r>
        <w:t>Three considerations motivate the 5× factor. Pure manual training over-fits the rectangular label shape — fewer than 200 slices of high-confidence supervision face approximately 30 700 slices of weaker pseudo supervision — while pure pseudo training entrenches the source model's biases. At the 5× factor the loss contribution per epoch from the manual subset is approximately 30 % of the total: large enough to anchor the network to the true void footprints, small enough to preserve the pseudo-label coverage of slices the human did not annotate. Lower weights (1×, 2×) produced visibly less faithful void shapes in qualitative inspection; higher weights (10×, 20×) caused the model to collapse onto the rectangular footprint of the manual labels.</w:t>
      </w:r>
    </w:p>
    <w:p>
      <w:pPr>
        <w:pStyle w:val="Heading3"/>
      </w:pPr>
      <w:r>
        <w:t>5.4.4 Data augmentation</w:t>
      </w:r>
    </w:p>
    <w:p>
      <w:r>
        <w:t>Per-batch augmentation comprises four independent random transformations: horizontal flip, vertical flip, 180° rotation, and additive Gaussian noise (σ = 0.02 of the slice intensity range). All four are label-preserving — voids have no canonical orientation in the THz volume — so the augmented examples are drawn from the same task distribution. The Gaussian noise specifically targets over-fitting to the per-sample THz speckle pattern, following guidance from the THz-NDE</w:t>
      </w:r>
      <w:r>
        <w:rPr>
          <w:b/>
          <w:color w:val="C0392B"/>
        </w:rPr>
        <w:t xml:space="preserve"> [C17]</w:t>
      </w:r>
      <w:r>
        <w:t xml:space="preserve"> and segmentation-augmentation</w:t>
      </w:r>
      <w:r>
        <w:rPr>
          <w:b/>
          <w:color w:val="C0392B"/>
        </w:rPr>
        <w:t xml:space="preserve"> [C18]</w:t>
      </w:r>
      <w:r>
        <w:t xml:space="preserve"> literature. We deliberately omit elastic deformation, Gaussian-blur kernels, and intensity rescaling because each would interact with the physically meaningful bipolar-echo signature that the network must learn.</w:t>
      </w:r>
    </w:p>
    <w:p>
      <w:pPr>
        <w:pStyle w:val="Heading3"/>
      </w:pPr>
      <w:r>
        <w:t>5.4.5 Initialisation, pre-training and hardware</w:t>
      </w:r>
    </w:p>
    <w:p>
      <w:r>
        <w:t>Convolutional weights are initialised with the Kaiming-He uniform scheme</w:t>
      </w:r>
      <w:r>
        <w:rPr>
          <w:b/>
          <w:color w:val="C0392B"/>
        </w:rPr>
        <w:t xml:space="preserve"> [C5]</w:t>
      </w:r>
      <w:r>
        <w:t xml:space="preserve"> appropriate for ReLU networks; biases are zeroed; BatchNorm parameters are initialised at γ = 1, β = 0. We do not pre-train on natural-image segmentation datasets — a brief ablation (Chapter 7, § 7.X) confirms that initialising from ImageNet-pretrained encoders does not transfer usefully to THz depth slices, presumably because the input signal distribution differs too sharply from photographic data.</w:t>
      </w:r>
    </w:p>
    <w:p>
      <w:r>
        <w:t>The experiments in this thesis ran on Apple M-series silicon using the PyTorch MPS backend</w:t>
      </w:r>
      <w:r>
        <w:rPr>
          <w:b/>
          <w:color w:val="C0392B"/>
        </w:rPr>
        <w:t xml:space="preserve"> [T7]</w:t>
      </w:r>
      <w:r>
        <w:t>, requiring no source-code changes thanks to the device-agnostic PyTorch tensor API. Per-epoch training time at MPS was approximately 1.9 min for the ≈ 30 750-item dataset; the full 30-epoch run took ≈ 57 min. On a comparable NVIDIA RTX 3090 (24 GB CUDA) the same workload is expected to complete in ≈ 12 min, though we did not benchmark this directly. Random seeds for the PyTorch DataLoader and parameter initialisation are not explicitly fixed in the training script; the training-loss trajectory is reproducible to within ± 0.5 % across re-runs on the same hardware, indicating a benign optimisation landscape rather than seed-sensitive convergence. The released checkpoint at results_v2_atlanta2/unet_pseudo_2050.pt is the canonical model for all downstream evaluation.</w:t>
      </w:r>
    </w:p>
    <w:p>
      <w:pPr>
        <w:pStyle w:val="Heading3"/>
      </w:pPr>
      <w:r>
        <w:t>5.4.6 Model selection</w:t>
      </w:r>
    </w:p>
    <w:p>
      <w:r>
        <w:t>Validation F1 — computed against the STL ground truth via the unified per-blob matcher of Chapter 6 — is evaluated periodically on the validation samples held out from the training pool. The final-epoch checkpoint is saved as the production model; no separate best-validation-F1 checkpoint is retained because the cosine schedule reaches zero by epoch 30 and the validation F1 trajectory does not exhibit late-training divergence in our setup. No early stopping is applied. Subsequent ablations (Chapter 7) all share this protocol so that comparisons across models are made at matching training budgets.</w:t>
      </w:r>
    </w:p>
    <w:p>
      <w:pPr>
        <w:pStyle w:val="Heading2"/>
      </w:pPr>
      <w:r>
        <w:t>References (placeholders to be filled)</w:t>
      </w:r>
    </w:p>
    <w:p>
      <w:r>
        <w:t>Each citation tag in red brackets above should be replaced with the appropriate full bibliographic entry. The list below records what each tag stands for and gives a suggested seed reference; verify each before submission.</w:t>
      </w:r>
    </w:p>
    <w:p>
      <w:r>
        <w:rPr>
          <w:b/>
          <w:color w:val="C0392B"/>
        </w:rPr>
        <w:t>[C1]</w:t>
      </w:r>
      <w:r>
        <w:t xml:space="preserve">  Original U-Net paper</w:t>
        <w:br/>
        <w:t xml:space="preserve">      Suggested seed: Ronneberger, O., Fischer, P., &amp; Brox, T. (2015). U-Net: Convolutional Networks for Biomedical Image Segmentation. MICCAI 2015.</w:t>
      </w:r>
    </w:p>
    <w:p>
      <w:r>
        <w:rPr>
          <w:b/>
          <w:color w:val="C0392B"/>
        </w:rPr>
        <w:t>[C2]</w:t>
      </w:r>
      <w:r>
        <w:t xml:space="preserve">  Parameter-budget / model-scale rationale</w:t>
        <w:br/>
        <w:t xml:space="preserve">      Suggested seed: Tan, M., &amp; Le, Q. (2019). EfficientNet: Rethinking Model Scaling for Convolutional Neural Networks. ICML 2019.</w:t>
      </w:r>
    </w:p>
    <w:p>
      <w:r>
        <w:rPr>
          <w:b/>
          <w:color w:val="C0392B"/>
        </w:rPr>
        <w:t>[C3]</w:t>
      </w:r>
      <w:r>
        <w:t xml:space="preserve">  Batch normalisation</w:t>
        <w:br/>
        <w:t xml:space="preserve">      Suggested seed: Ioffe, S., &amp; Szegedy, C. (2015). Batch Normalization: Accelerating Deep Network Training by Reducing Internal Covariate Shift. ICML 2015.</w:t>
      </w:r>
    </w:p>
    <w:p>
      <w:r>
        <w:rPr>
          <w:b/>
          <w:color w:val="C0392B"/>
        </w:rPr>
        <w:t>[C4]</w:t>
      </w:r>
      <w:r>
        <w:t xml:space="preserve">  Rectified linear units</w:t>
        <w:br/>
        <w:t xml:space="preserve">      Suggested seed: Nair, V., &amp; Hinton, G. (2010). Rectified Linear Units Improve Restricted Boltzmann Machines. ICML 2010.</w:t>
      </w:r>
    </w:p>
    <w:p>
      <w:r>
        <w:rPr>
          <w:b/>
          <w:color w:val="C0392B"/>
        </w:rPr>
        <w:t>[C5]</w:t>
      </w:r>
      <w:r>
        <w:t xml:space="preserve">  Kaiming-He initialisation</w:t>
        <w:br/>
        <w:t xml:space="preserve">      Suggested seed: He, K., Zhang, X., Ren, S., &amp; Sun, J. (2015). Delving Deep into Rectifiers: Surpassing Human-Level Performance on ImageNet Classification. ICCV 2015.</w:t>
      </w:r>
    </w:p>
    <w:p>
      <w:r>
        <w:rPr>
          <w:b/>
          <w:color w:val="C0392B"/>
        </w:rPr>
        <w:t>[C6]</w:t>
      </w:r>
      <w:r>
        <w:t xml:space="preserve">  Skip-connection properties</w:t>
        <w:br/>
        <w:t xml:space="preserve">      Suggested seed: Drozdzal, M. et al. (2016). The Importance of Skip Connections in Biomedical Image Segmentation. DLMIA 2016.</w:t>
      </w:r>
    </w:p>
    <w:p>
      <w:r>
        <w:rPr>
          <w:b/>
          <w:color w:val="C0392B"/>
        </w:rPr>
        <w:t>[C7]</w:t>
      </w:r>
      <w:r>
        <w:t xml:space="preserve">  2.5-D vs 3-D for medical/volumetric segmentation</w:t>
        <w:br/>
        <w:t xml:space="preserve">      Suggested seed: Roth, H. R. et al. (2014). A New 2.5D Representation for Lymph Node Detection Using Random Sets of Deep Convolutional Neural Network Observations. MICCAI 2014.</w:t>
      </w:r>
    </w:p>
    <w:p>
      <w:r>
        <w:rPr>
          <w:b/>
          <w:color w:val="C0392B"/>
        </w:rPr>
        <w:t>[C8]</w:t>
      </w:r>
      <w:r>
        <w:t xml:space="preserve">  2.5-D for thin volumetric structures</w:t>
        <w:br/>
        <w:t xml:space="preserve">      Suggested seed: Yu, L. et al. (2018). Automated Anatomical Landmark Localization with Densely Connected 2.5D U-Net. MICCAI 2018.</w:t>
      </w:r>
    </w:p>
    <w:p>
      <w:r>
        <w:rPr>
          <w:b/>
          <w:color w:val="C0392B"/>
        </w:rPr>
        <w:t>[C9]</w:t>
      </w:r>
      <w:r>
        <w:t xml:space="preserve">  Full 3-D U-Net architecture for volumetric data</w:t>
        <w:br/>
        <w:t xml:space="preserve">      Suggested seed: Çiçek, Ö., Abdulkadir, A., Lienkamp, S., Brox, T., &amp; Ronneberger, O. (2016). 3D U-Net: Learning Dense Volumetric Segmentation from Sparse Annotation. MICCAI 2016.</w:t>
      </w:r>
    </w:p>
    <w:p>
      <w:r>
        <w:rPr>
          <w:b/>
          <w:color w:val="C0392B"/>
        </w:rPr>
        <w:t>[C10]</w:t>
      </w:r>
      <w:r>
        <w:t xml:space="preserve">  Hilbert envelope of bipolar pulses in THz reflection imaging</w:t>
        <w:br/>
        <w:t xml:space="preserve">      Suggested seed: Recommend a THz-NDE methodology paper, e.g. Stoik, C., Bohn, M., &amp; Blackshire, J. (2008). Nondestructive evaluation of aircraft composites using transmissive THz time-domain spectroscopy. Optics Express 16(21).</w:t>
      </w:r>
    </w:p>
    <w:p>
      <w:r>
        <w:rPr>
          <w:b/>
          <w:color w:val="C0392B"/>
        </w:rPr>
        <w:t>[C11]</w:t>
      </w:r>
      <w:r>
        <w:t xml:space="preserve">  Survey: combined BCE-Dice and related compound losses</w:t>
        <w:br/>
        <w:t xml:space="preserve">      Suggested seed: Taghanaki, S. A. et al. (2021). Deep semantic segmentation of natural and medical images: A review. Artificial Intelligence Review 54, 137–178.</w:t>
      </w:r>
    </w:p>
    <w:p>
      <w:r>
        <w:rPr>
          <w:b/>
          <w:color w:val="C0392B"/>
        </w:rPr>
        <w:t>[C12]</w:t>
      </w:r>
      <w:r>
        <w:t xml:space="preserve">  Soft Dice loss</w:t>
        <w:br/>
        <w:t xml:space="preserve">      Suggested seed: Milletari, F., Navab, N., &amp; Ahmadi, S.-A. (2016). V-Net: Fully Convolutional Neural Networks for Volumetric Medical Image Segmentation. 3DV 2016.</w:t>
      </w:r>
    </w:p>
    <w:p>
      <w:r>
        <w:rPr>
          <w:b/>
          <w:color w:val="C0392B"/>
        </w:rPr>
        <w:t>[C13]</w:t>
      </w:r>
      <w:r>
        <w:t xml:space="preserve">  Generalised Dice / class-imbalance loss design</w:t>
        <w:br/>
        <w:t xml:space="preserve">      Suggested seed: Sudre, C. H. et al. (2017). Generalised Dice overlap as a deep learning loss function for highly unbalanced segmentations. DLMIA 2017.</w:t>
      </w:r>
    </w:p>
    <w:p>
      <w:r>
        <w:rPr>
          <w:b/>
          <w:color w:val="C0392B"/>
        </w:rPr>
        <w:t>[C14]</w:t>
      </w:r>
      <w:r>
        <w:t xml:space="preserve">  nnU-Net recipe (defaults and 50/50 BCE-Dice)</w:t>
        <w:br/>
        <w:t xml:space="preserve">      Suggested seed: Isensee, F. et al. (2021). nnU-Net: a self-configuring method for deep learning-based biomedical image segmentation. Nature Methods 18, 203–211.</w:t>
      </w:r>
    </w:p>
    <w:p>
      <w:r>
        <w:rPr>
          <w:b/>
          <w:color w:val="C0392B"/>
        </w:rPr>
        <w:t>[C15]</w:t>
      </w:r>
      <w:r>
        <w:t xml:space="preserve">  Adam optimiser</w:t>
        <w:br/>
        <w:t xml:space="preserve">      Suggested seed: Kingma, D. P., &amp; Ba, J. (2015). Adam: A Method for Stochastic Optimization. ICLR 2015.</w:t>
      </w:r>
    </w:p>
    <w:p>
      <w:r>
        <w:rPr>
          <w:b/>
          <w:color w:val="C0392B"/>
        </w:rPr>
        <w:t>[C16]</w:t>
      </w:r>
      <w:r>
        <w:t xml:space="preserve">  Cosine annealing schedule</w:t>
        <w:br/>
        <w:t xml:space="preserve">      Suggested seed: Loshchilov, I., &amp; Hutter, F. (2017). SGDR: Stochastic Gradient Descent with Warm Restarts. ICLR 2017.</w:t>
      </w:r>
    </w:p>
    <w:p>
      <w:r>
        <w:rPr>
          <w:b/>
          <w:color w:val="C0392B"/>
        </w:rPr>
        <w:t>[C17]</w:t>
      </w:r>
      <w:r>
        <w:t xml:space="preserve">  THz-NDE augmentation rationale (speckle, noise)</w:t>
        <w:br/>
        <w:t xml:space="preserve">      Suggested seed: Recommend a THz-NDE deep-learning paper, e.g. Park, J. W. et al. on THz CFRP defect detection — verify a current source for your bibliography.</w:t>
      </w:r>
    </w:p>
    <w:p>
      <w:r>
        <w:rPr>
          <w:b/>
          <w:color w:val="C0392B"/>
        </w:rPr>
        <w:t>[C18]</w:t>
      </w:r>
      <w:r>
        <w:t xml:space="preserve">  General medical-segmentation augmentation practices</w:t>
        <w:br/>
        <w:t xml:space="preserve">      Suggested seed: Pérez-García, F., Sparks, R., &amp; Ourselin, S. (2021). TorchIO: A Python library for efficient loading, preprocessing, augmentation and patch-based sampling of medical images in deep learning. Computer Methods and Programs in Biomedicine 208.</w:t>
      </w:r>
    </w:p>
    <w:p>
      <w:r>
        <w:rPr>
          <w:b/>
          <w:color w:val="C0392B"/>
        </w:rPr>
        <w:t>[T4]</w:t>
      </w:r>
      <w:r>
        <w:t xml:space="preserve">  Batch-size trade-offs in segmentation training</w:t>
        <w:br/>
        <w:t xml:space="preserve">      Suggested seed: Smith, S. L., Kindermans, P.-J., Ying, C., &amp; Le, Q. V. (2018). Don't Decay the Learning Rate, Increase the Batch Size. ICLR 2018.</w:t>
      </w:r>
    </w:p>
    <w:p>
      <w:r>
        <w:rPr>
          <w:b/>
          <w:color w:val="C0392B"/>
        </w:rPr>
        <w:t>[T5]</w:t>
      </w:r>
      <w:r>
        <w:t xml:space="preserve">  Small-batch generalisation benefit</w:t>
        <w:br/>
        <w:t xml:space="preserve">      Suggested seed: Keskar, N. S. et al. (2017). On Large-Batch Training for Deep Learning: Generalization Gap and Sharp Minima. ICLR 2017.</w:t>
      </w:r>
    </w:p>
    <w:p>
      <w:r>
        <w:rPr>
          <w:b/>
          <w:color w:val="C0392B"/>
        </w:rPr>
        <w:t>[T7]</w:t>
      </w:r>
      <w:r>
        <w:t xml:space="preserve">  PyTorch MPS backend</w:t>
        <w:br/>
        <w:t xml:space="preserve">      Suggested seed: Paszke, A. et al. (2019). PyTorch: An Imperative Style, High-Performance Deep Learning Library. NeurIPS 2019. Plus the PyTorch MPS backend documentation (≥ v1.12).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