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3C0DBC0F" w14:textId="77777777" w:rsidR="00BF1881" w:rsidRDefault="00BF1881" w:rsidP="00BF1881">
      <w:pPr>
        <w:spacing w:line="480" w:lineRule="auto"/>
        <w:jc w:val="center"/>
        <w:rPr>
          <w:rFonts w:ascii="Times New Roman" w:hAnsi="Times New Roman"/>
          <w:caps/>
        </w:rPr>
      </w:pPr>
    </w:p>
    <w:p w14:paraId="75F46612" w14:textId="77777777" w:rsidR="00BF1881" w:rsidRPr="00020C9C"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1E1B5846" w14:textId="77777777" w:rsidR="00951E30" w:rsidRDefault="00951E30" w:rsidP="00020C9C">
      <w:pPr>
        <w:spacing w:line="480" w:lineRule="auto"/>
        <w:rPr>
          <w:rFonts w:ascii="Times New Roman" w:hAnsi="Times New Roman"/>
          <w:smallCaps/>
        </w:rPr>
      </w:pPr>
      <w:bookmarkStart w:id="0" w:name="_GoBack"/>
      <w:bookmarkEnd w:id="0"/>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lastRenderedPageBreak/>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CB2C63"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CB2C63"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42F3A351" w14:textId="77777777" w:rsidR="00804BA2" w:rsidRPr="00804BA2" w:rsidRDefault="00804BA2" w:rsidP="00804BA2">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Pr="00804BA2">
        <w:t xml:space="preserve">Stanley, C. Q., MacPherson, M., Fraser, K. C., McKinnon, E. A., &amp; Stutchbury, B. J. M. (2012). Repeat Tracking of Individual Songbirds Reveals Consistent Migration Timing but Flexibility in Route. </w:t>
      </w:r>
      <w:r w:rsidRPr="00804BA2">
        <w:rPr>
          <w:i/>
        </w:rPr>
        <w:t>PLoS ONE, 7</w:t>
      </w:r>
      <w:r w:rsidRPr="00804BA2">
        <w:t>(7), e40688. doi:10.1371/journal.pone.0040688</w:t>
      </w:r>
      <w:bookmarkEnd w:id="1"/>
    </w:p>
    <w:p w14:paraId="15F00AF9" w14:textId="2FAE92FB"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5112D" w14:textId="77777777" w:rsidR="00CB2C63" w:rsidRDefault="00CB2C63" w:rsidP="00101E22">
      <w:r>
        <w:separator/>
      </w:r>
    </w:p>
  </w:endnote>
  <w:endnote w:type="continuationSeparator" w:id="0">
    <w:p w14:paraId="5F1D1CD1" w14:textId="77777777" w:rsidR="00CB2C63" w:rsidRDefault="00CB2C63"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DB050" w14:textId="77777777" w:rsidR="00CB2C63" w:rsidRDefault="00CB2C63" w:rsidP="00101E22">
      <w:r>
        <w:separator/>
      </w:r>
    </w:p>
  </w:footnote>
  <w:footnote w:type="continuationSeparator" w:id="0">
    <w:p w14:paraId="01870991" w14:textId="77777777" w:rsidR="00CB2C63" w:rsidRDefault="00CB2C63"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2DC3F-1373-4B46-84B2-CCBF8FB8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5308</Words>
  <Characters>30261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12</cp:revision>
  <cp:lastPrinted>2013-01-10T13:24:00Z</cp:lastPrinted>
  <dcterms:created xsi:type="dcterms:W3CDTF">2016-09-02T23:28:00Z</dcterms:created>
  <dcterms:modified xsi:type="dcterms:W3CDTF">2016-09-06T22:17:00Z</dcterms:modified>
</cp:coreProperties>
</file>