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39A900"/>
          <w:sz w:val="64"/>
          <w:szCs w:val="64"/>
        </w:rPr>
        <w:t xml:space="preserve">SENA</w:t>
      </w:r>
    </w:p>
    <w:p>
      <w:pPr>
        <w:spacing w:after="40" w:before="0"/>
        <w:jc w:val="center"/>
      </w:pPr>
      <w:r>
        <w:rPr>
          <w:rFonts w:ascii="Arial" w:cs="Arial" w:eastAsia="Arial" w:hAnsi="Arial"/>
          <w:color w:val="5A5A5A"/>
          <w:sz w:val="24"/>
          <w:szCs w:val="24"/>
        </w:rPr>
        <w:t xml:space="preserve">Servicio Nacional de Aprendizaje</w:t>
      </w:r>
    </w:p>
    <w:p>
      <w:pPr>
        <w:spacing w:after="240" w:before="0"/>
        <w:jc w:val="center"/>
      </w:pPr>
      <w:r>
        <w:rPr>
          <w:rFonts w:ascii="Arial" w:cs="Arial" w:eastAsia="Arial" w:hAnsi="Arial"/>
          <w:color w:val="5A5A5A"/>
          <w:sz w:val="20"/>
          <w:szCs w:val="20"/>
        </w:rPr>
        <w:t xml:space="preserve">Tecnología en Análisis y Desarrollo de Software  ·  Competencia 220501046</w:t>
      </w:r>
    </w:p>
    <w:p>
      <w:pPr>
        <w:spacing w:after="40" w:before="0"/>
        <w:jc w:val="center"/>
      </w:pPr>
      <w:r>
        <w:rPr>
          <w:rFonts w:ascii="Arial" w:cs="Arial" w:eastAsia="Arial" w:hAnsi="Arial"/>
          <w:b/>
          <w:bCs/>
          <w:color w:val="003DA5"/>
          <w:sz w:val="44"/>
          <w:szCs w:val="44"/>
        </w:rPr>
        <w:t xml:space="preserve">ANÁLISIS DE DATOS RECOLECTADOS</w:t>
      </w:r>
    </w:p>
    <w:p>
      <w:pPr>
        <w:spacing w:after="80" w:before="0"/>
        <w:jc w:val="center"/>
      </w:pPr>
      <w:r>
        <w:rPr>
          <w:rFonts w:ascii="Arial" w:cs="Arial" w:eastAsia="Arial" w:hAnsi="Arial"/>
          <w:color w:val="1a5f9e"/>
          <w:sz w:val="24"/>
          <w:szCs w:val="24"/>
        </w:rPr>
        <w:t xml:space="preserve">Módulo 2 — Evidencia de Aprendizaje</w:t>
      </w:r>
    </w:p>
    <w:p>
      <w:pPr>
        <w:spacing w:after="240" w:before="0"/>
        <w:jc w:val="center"/>
      </w:pPr>
      <w:r>
        <w:rPr>
          <w:rFonts w:ascii="Arial" w:cs="Arial" w:eastAsia="Arial" w:hAnsi="Arial"/>
          <w:b/>
          <w:bCs/>
          <w:color w:val="2D2D2D"/>
          <w:sz w:val="22"/>
          <w:szCs w:val="22"/>
        </w:rPr>
        <w:t xml:space="preserve">Proyecto: Supermercado "La Esquina"  ·  Digitalización MVP</w:t>
      </w:r>
    </w:p>
    <w:p>
      <w:pPr>
        <w:spacing w:after="3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Cliente: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Carlos Ruiz — Supermercado La Esquina</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Elaborado por: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Equipo de Análisis y Desarrollo de Software — SENA</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Versión: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1.0 — Documento Final</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Fecha: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Abril 2026</w:t>
            </w:r>
          </w:p>
        </w:tc>
      </w:tr>
    </w:tbl>
    <w:p>
      <w:pPr>
        <w:spacing w:after="0" w:before="200"/>
      </w:pPr>
      <w:r>
        <w:t xml:space="preserve"/>
      </w:r>
    </w:p>
    <w:p>
      <w:r>
        <w:br w:type="page"/>
      </w:r>
    </w:p>
    <w:p>
      <w:pPr>
        <w:pStyle w:val="Heading1"/>
        <w:pBdr>
          <w:bottom w:val="single" w:color="003DA5" w:sz="6" w:space="4"/>
        </w:pBdr>
        <w:spacing w:after="160" w:before="320"/>
      </w:pPr>
      <w:r>
        <w:rPr>
          <w:rFonts w:ascii="Arial" w:cs="Arial" w:eastAsia="Arial" w:hAnsi="Arial"/>
          <w:b/>
          <w:bCs/>
          <w:color w:val="003DA5"/>
          <w:sz w:val="32"/>
          <w:szCs w:val="32"/>
        </w:rPr>
        <w:t xml:space="preserve">01. Análisis Cualitativo de los Datos</w:t>
      </w:r>
    </w:p>
    <w:p>
      <w:pPr>
        <w:spacing w:after="120" w:before="60"/>
        <w:jc w:val="both"/>
      </w:pPr>
      <w:r>
        <w:rPr>
          <w:rFonts w:ascii="Arial" w:cs="Arial" w:eastAsia="Arial" w:hAnsi="Arial"/>
          <w:color w:val="2D2D2D"/>
          <w:sz w:val="20"/>
          <w:szCs w:val="20"/>
        </w:rPr>
        <w:t xml:space="preserve">El análisis cualitativo del proyecto Supermercado "La Esquina" se realizó mediante la triangulación de cuatro instrumentos de recolección: entrevista semiestructurada, ficha de observación directa, encuesta estructurada y revisión documental. A continuación se presentan las categorías temáticas identificadas, el proceso de categorización y las citas textuales que respaldan cada hallazgo.</w:t>
      </w:r>
    </w:p>
    <w:p>
      <w:pPr>
        <w:pStyle w:val="Heading2"/>
        <w:spacing w:after="120" w:before="240"/>
      </w:pPr>
      <w:r>
        <w:rPr>
          <w:rFonts w:ascii="Arial" w:cs="Arial" w:eastAsia="Arial" w:hAnsi="Arial"/>
          <w:b/>
          <w:bCs/>
          <w:color w:val="1a5f9e"/>
          <w:sz w:val="26"/>
          <w:szCs w:val="26"/>
        </w:rPr>
        <w:t xml:space="preserve">1.1 Proceso de Categorización</w:t>
      </w:r>
    </w:p>
    <w:p>
      <w:pPr>
        <w:spacing w:after="120" w:before="60"/>
        <w:jc w:val="both"/>
      </w:pPr>
      <w:r>
        <w:rPr>
          <w:rFonts w:ascii="Arial" w:cs="Arial" w:eastAsia="Arial" w:hAnsi="Arial"/>
          <w:color w:val="2D2D2D"/>
          <w:sz w:val="20"/>
          <w:szCs w:val="20"/>
        </w:rPr>
        <w:t xml:space="preserve">El proceso de categorización consistió en identificar patrones recurrentes en las respuestas de los actores y agruparlos por módulo funcional del sistema. Cada idea extraída fue etiquetada con su fuente (instrumento y actor) y su tipo (funcional o no funcional), siguiendo la metodología inductiva recomendada por Sommerville (2016).</w:t>
      </w:r>
    </w:p>
    <w:p>
      <w:pPr>
        <w:spacing w:after="80" w:before="180"/>
      </w:pPr>
      <w:r>
        <w:rPr>
          <w:rFonts w:ascii="Arial" w:cs="Arial" w:eastAsia="Arial" w:hAnsi="Arial"/>
          <w:b/>
          <w:bCs/>
          <w:color w:val="2D2D2D"/>
          <w:sz w:val="22"/>
          <w:szCs w:val="22"/>
        </w:rPr>
        <w:t xml:space="preserve">Categorías identificadas por módulo del sistema: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 / Módulo</w:t>
            </w:r>
          </w:p>
        </w:tc>
        <w:tc>
          <w:tcPr>
            <w:tcW w:type="dxa" w:w="20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2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Ideas principales identificadas</w:t>
            </w:r>
          </w:p>
        </w:tc>
        <w:tc>
          <w:tcPr>
            <w:tcW w:type="dxa" w:w="25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M1 — POS / Ventas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Cobro lento (44% tiempo en suma manual). Necesidad de cálculo automático. Reducción de 382 seg a 145 seg por transacción.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Obs. Pasos 2–3 · Entrevista P1 · 5 clientes encuesta E8</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M2 — Catálogo / Precios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Lista D04 desactualizada: 8/90 productos con precio errado. Diego Morales detectó errores. Tres clientes recibieron cobros incorrectos.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D04 · Entrevista P2 · 3 clientes (Rosa V., Hernán O., Felipe S.)</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M3 — Inventario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Pedidos por memoria sin umbrales. Propietario descubre agotamientos solo cuando el cliente lo reporta. Ausencia de alertas automáticas.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D05 · Entrevista P3 · Carlos Ruiz: «No sé cuándo se acaba»</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M4 — Crédito / Fiado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D02: 12 clientes activos, $336.000 COP en cartera. Sin abonos ni saldo actualizado. Riesgo de pérdidas por olvido.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D02 · Entrevista P8</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M5 — Pagos digitales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 de 15 clientes (26.7%) abandonan la compra sin opción digital. Nequi / Daviplata / tarjeta son los métodos demandados.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Encuesta E4 · Luis Peña, Camila Ríos, Ricardo Leal, Andrés Quintero</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M6 — Usabilidad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 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Carlos Ruiz nunca usó un POS. Resistencia explícita a la complejidad. Máximo 2 horas de inducción para cualquier usuario.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P10 · Observación directa</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M7 — Infraestructura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 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Internet inestable ("a veces se cae"). Necesidad de modo offline completo. Hardware limitado a tablet Android o PC básico.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P11–P12 · Restricción presupuestal</w:t>
            </w:r>
          </w:p>
        </w:tc>
      </w:tr>
      <w:tr>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M8 — Reportes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D06 sin desglose por producto, empleado ni hora pico. Imposibilidad de auditoría. Carlos desconoce productos más vendidos y diferencias de caja.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D06 · D01 · Entrevista P6</w:t>
            </w:r>
          </w:p>
        </w:tc>
      </w:tr>
    </w:tbl>
    <w:p>
      <w:pPr>
        <w:spacing w:after="80" w:before="160"/>
      </w:pPr>
      <w:r>
        <w:t xml:space="preserve"/>
      </w:r>
    </w:p>
    <w:p>
      <w:pPr>
        <w:pStyle w:val="Heading2"/>
        <w:spacing w:after="120" w:before="240"/>
      </w:pPr>
      <w:r>
        <w:rPr>
          <w:rFonts w:ascii="Arial" w:cs="Arial" w:eastAsia="Arial" w:hAnsi="Arial"/>
          <w:b/>
          <w:bCs/>
          <w:color w:val="1a5f9e"/>
          <w:sz w:val="26"/>
          <w:szCs w:val="26"/>
        </w:rPr>
        <w:t xml:space="preserve">1.2 Citas Textuales Clave de los Actores</w:t>
      </w:r>
    </w:p>
    <w:p>
      <w:pPr>
        <w:spacing w:after="120" w:before="60"/>
        <w:jc w:val="both"/>
      </w:pPr>
      <w:r>
        <w:rPr>
          <w:rFonts w:ascii="Arial" w:cs="Arial" w:eastAsia="Arial" w:hAnsi="Arial"/>
          <w:color w:val="2D2D2D"/>
          <w:sz w:val="20"/>
          <w:szCs w:val="20"/>
        </w:rPr>
        <w:t xml:space="preserve">Las siguientes citas fueron extraídas directamente de los instrumentos de recolección y constituyen evidencia primaria que fundamenta los requisitos definidos en la Sección 3 del presente documento. Cada cita incluye su interpretación técnica y el requisito que origina.</w:t>
      </w:r>
    </w:p>
    <w:p>
      <w:pPr>
        <w:pBdr>
          <w:left w:val="single" w:color="003DA5" w:sz="12"/>
        </w:pBdr>
        <w:shd w:fill="EFF4FB" w:val="clear"/>
        <w:spacing w:after="80" w:before="80"/>
        <w:ind w:left="180"/>
      </w:pPr>
      <w:r>
        <w:rPr>
          <w:rFonts w:ascii="Arial" w:cs="Arial" w:eastAsia="Arial" w:hAnsi="Arial"/>
          <w:color w:val="003DA5"/>
          <w:sz w:val="18"/>
          <w:szCs w:val="18"/>
        </w:rPr>
        <w:t xml:space="preserve">"No sé cuándo se va a acabar un producto hasta que ya no hay." — Carlos Ruiz, Propietario. Entrevista semiestructurada, pregunta P2.</w:t>
      </w:r>
    </w:p>
    <w:p>
      <w:pPr>
        <w:spacing w:after="140" w:before="60"/>
        <w:jc w:val="both"/>
      </w:pPr>
      <w:r>
        <w:rPr>
          <w:rFonts w:ascii="Arial" w:cs="Arial" w:eastAsia="Arial" w:hAnsi="Arial"/>
          <w:color w:val="2D2D2D"/>
          <w:sz w:val="20"/>
          <w:szCs w:val="20"/>
        </w:rPr>
        <w:t xml:space="preserve">Interpretación técnica: Esta cita evidencia la ausencia total de control de inventario en tiempo real. El propietario opera con base en la memoria, lo que genera agotamientos no planificados y ventas perdidas. El sistema debe permitir configurar umbrales de stock mínimo y emitir alertas automáticas. Requisito derivado: RF03 — Control de Inventario + Alertas de Stock (Must Have).</w:t>
      </w:r>
    </w:p>
    <w:p>
      <w:pPr>
        <w:pBdr>
          <w:left w:val="single" w:color="003DA5" w:sz="12"/>
        </w:pBdr>
        <w:shd w:fill="EFF4FB" w:val="clear"/>
        <w:spacing w:after="80" w:before="80"/>
        <w:ind w:left="180"/>
      </w:pPr>
      <w:r>
        <w:rPr>
          <w:rFonts w:ascii="Arial" w:cs="Arial" w:eastAsia="Arial" w:hAnsi="Arial"/>
          <w:color w:val="003DA5"/>
          <w:sz w:val="18"/>
          <w:szCs w:val="18"/>
        </w:rPr>
        <w:t xml:space="preserve">"Que sea sencillo, que yo pueda aprender en un día." — Carlos Ruiz, Propietario. Entrevista semiestructurada, pregunta P10.</w:t>
      </w:r>
    </w:p>
    <w:p>
      <w:pPr>
        <w:spacing w:after="140" w:before="60"/>
        <w:jc w:val="both"/>
      </w:pPr>
      <w:r>
        <w:rPr>
          <w:rFonts w:ascii="Arial" w:cs="Arial" w:eastAsia="Arial" w:hAnsi="Arial"/>
          <w:color w:val="2D2D2D"/>
          <w:sz w:val="20"/>
          <w:szCs w:val="20"/>
        </w:rPr>
        <w:t xml:space="preserve">Interpretación técnica: Esta declaración establece una restricción no funcional de usabilidad tan crítica como cualquier funcionalidad del sistema. Si el MVP no puede ser aprendido en una jornada corta de inducción, será rechazado por el usuario principal. Este hallazgo fundamenta RNF01 — Interfaz Intuitiva (Must Have), con un criterio de aceptación medible: completar una venta completa tras máximo 2 horas de formación.</w:t>
      </w:r>
    </w:p>
    <w:p>
      <w:pPr>
        <w:pBdr>
          <w:left w:val="single" w:color="003DA5" w:sz="12"/>
        </w:pBdr>
        <w:shd w:fill="EFF4FB" w:val="clear"/>
        <w:spacing w:after="80" w:before="80"/>
        <w:ind w:left="180"/>
      </w:pPr>
      <w:r>
        <w:rPr>
          <w:rFonts w:ascii="Arial" w:cs="Arial" w:eastAsia="Arial" w:hAnsi="Arial"/>
          <w:color w:val="003DA5"/>
          <w:sz w:val="18"/>
          <w:szCs w:val="18"/>
        </w:rPr>
        <w:t xml:space="preserve">"A veces no llevo efectivo y me toca volver después. Si pusieran pagos digitales vendría más seguido." — Luis Peña, Cliente encuestado. Encuesta estructurada, ítem E4.</w:t>
      </w:r>
    </w:p>
    <w:p>
      <w:pPr>
        <w:spacing w:after="140" w:before="60"/>
        <w:jc w:val="both"/>
      </w:pPr>
      <w:r>
        <w:rPr>
          <w:rFonts w:ascii="Arial" w:cs="Arial" w:eastAsia="Arial" w:hAnsi="Arial"/>
          <w:color w:val="2D2D2D"/>
          <w:sz w:val="20"/>
          <w:szCs w:val="20"/>
        </w:rPr>
        <w:t xml:space="preserve">Interpretación técnica: Esta cita, reforzada por Camila Ríos, Ricardo Leal y Andrés Quintero en el mismo ítem E4, cuantifica las ventas perdidas por ausencia de métodos de pago digital. El 26.7% de los clientes encuestados confirmó el mismo patrón. Requisito derivado: RF — Integración de pagos digitales (Should Have por restricción presupuestal en el MVP).</w:t>
      </w:r>
    </w:p>
    <w:p>
      <w:pPr>
        <w:pBdr>
          <w:left w:val="single" w:color="003DA5" w:sz="12"/>
        </w:pBdr>
        <w:shd w:fill="EFF4FB" w:val="clear"/>
        <w:spacing w:after="80" w:before="80"/>
        <w:ind w:left="180"/>
      </w:pPr>
      <w:r>
        <w:rPr>
          <w:rFonts w:ascii="Arial" w:cs="Arial" w:eastAsia="Arial" w:hAnsi="Arial"/>
          <w:color w:val="003DA5"/>
          <w:sz w:val="18"/>
          <w:szCs w:val="18"/>
        </w:rPr>
        <w:t xml:space="preserve">"A veces se cae, pero en general funciona." — Carlos Ruiz, Propietario. Entrevista semiestructurada, pregunta P11. (Refiriéndose al internet del establecimiento.)</w:t>
      </w:r>
    </w:p>
    <w:p>
      <w:pPr>
        <w:spacing w:after="140" w:before="60"/>
        <w:jc w:val="both"/>
      </w:pPr>
      <w:r>
        <w:rPr>
          <w:rFonts w:ascii="Arial" w:cs="Arial" w:eastAsia="Arial" w:hAnsi="Arial"/>
          <w:color w:val="2D2D2D"/>
          <w:sz w:val="20"/>
          <w:szCs w:val="20"/>
        </w:rPr>
        <w:t xml:space="preserve">Interpretación técnica: Esta declaración confirma que el internet del establecimiento es de tipo domiciliario básico con cortes intermitentes. El sistema no puede depender de la conectividad para sus operaciones core. Requisito derivado: RNF02 — Funcionamiento en Modo Offline (Must Have).</w:t>
      </w:r>
    </w:p>
    <w:p>
      <w:pPr>
        <w:pBdr>
          <w:left w:val="single" w:color="003DA5" w:sz="12"/>
        </w:pBdr>
        <w:shd w:fill="EFF4FB" w:val="clear"/>
        <w:spacing w:after="80" w:before="80"/>
        <w:ind w:left="180"/>
      </w:pPr>
      <w:r>
        <w:rPr>
          <w:rFonts w:ascii="Arial" w:cs="Arial" w:eastAsia="Arial" w:hAnsi="Arial"/>
          <w:color w:val="003DA5"/>
          <w:sz w:val="18"/>
          <w:szCs w:val="18"/>
        </w:rPr>
        <w:t xml:space="preserve">"No tengo mucho presupuesto." — Carlos Ruiz, Propietario. Entrevista semiestructurada, pregunta P12.</w:t>
      </w:r>
    </w:p>
    <w:p>
      <w:pPr>
        <w:spacing w:after="160" w:before="60"/>
        <w:jc w:val="both"/>
      </w:pPr>
      <w:r>
        <w:rPr>
          <w:rFonts w:ascii="Arial" w:cs="Arial" w:eastAsia="Arial" w:hAnsi="Arial"/>
          <w:color w:val="2D2D2D"/>
          <w:sz w:val="20"/>
          <w:szCs w:val="20"/>
        </w:rPr>
        <w:t xml:space="preserve">Interpretación técnica: Esta restricción de negocio descarta modelos de suscripción mensual recurrente y hardware especializado. El sistema debe operar en tablet Android 8.0 con 2 GB RAM o PC con Windows 10 básico. Requisitos derivados: RN01 — Sin costo de licencia mensual (Must Have) y RNF05 — Compatibilidad con hardware de bajo costo (Must Have).</w:t>
      </w:r>
    </w:p>
    <w:p>
      <w:r>
        <w:br w:type="page"/>
      </w:r>
    </w:p>
    <w:p>
      <w:pPr>
        <w:pStyle w:val="Heading1"/>
        <w:pBdr>
          <w:bottom w:val="single" w:color="003DA5" w:sz="6" w:space="4"/>
        </w:pBdr>
        <w:spacing w:after="160" w:before="320"/>
      </w:pPr>
      <w:r>
        <w:rPr>
          <w:rFonts w:ascii="Arial" w:cs="Arial" w:eastAsia="Arial" w:hAnsi="Arial"/>
          <w:b/>
          <w:bCs/>
          <w:color w:val="003DA5"/>
          <w:sz w:val="32"/>
          <w:szCs w:val="32"/>
        </w:rPr>
        <w:t xml:space="preserve">02. Tabla de Frecuencias y Estadísticas (T1 y T2)</w:t>
      </w:r>
    </w:p>
    <w:p>
      <w:pPr>
        <w:spacing w:after="120" w:before="60"/>
        <w:jc w:val="both"/>
      </w:pPr>
      <w:r>
        <w:rPr>
          <w:rFonts w:ascii="Arial" w:cs="Arial" w:eastAsia="Arial" w:hAnsi="Arial"/>
          <w:color w:val="2D2D2D"/>
          <w:sz w:val="20"/>
          <w:szCs w:val="20"/>
        </w:rPr>
        <w:t xml:space="preserve">Esta sección consolida los resultados cuantitativos del proceso de recolección, dando cumplimiento a las tareas T1 (Tabla de Frecuencias) y T2 (Estadísticas) establecidas en la guía de laboratorio del Módulo 2.</w:t>
      </w:r>
    </w:p>
    <w:p>
      <w:pPr>
        <w:pStyle w:val="Heading2"/>
        <w:spacing w:after="120" w:before="240"/>
      </w:pPr>
      <w:r>
        <w:rPr>
          <w:rFonts w:ascii="Arial" w:cs="Arial" w:eastAsia="Arial" w:hAnsi="Arial"/>
          <w:b/>
          <w:bCs/>
          <w:color w:val="1a5f9e"/>
          <w:sz w:val="26"/>
          <w:szCs w:val="26"/>
        </w:rPr>
        <w:t xml:space="preserve">2.1 Tarea T1 — Tabla de Frecuencias de Funcionalidades Solicitadas</w:t>
      </w:r>
    </w:p>
    <w:p>
      <w:pPr>
        <w:spacing w:after="100" w:before="60"/>
        <w:jc w:val="both"/>
      </w:pPr>
      <w:r>
        <w:rPr>
          <w:rFonts w:ascii="Arial" w:cs="Arial" w:eastAsia="Arial" w:hAnsi="Arial"/>
          <w:color w:val="2D2D2D"/>
          <w:sz w:val="20"/>
          <w:szCs w:val="20"/>
        </w:rPr>
        <w:t xml:space="preserve">La tabla siguiente consolida las menciones de funcionalidades expresadas por los 19 actores del estudio: 4 actores internos (Carlos Ruiz, Martha Suárez, Julián Torres, Diego Morales) y 15 clientes encuestados.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100"/>
        <w:gridCol w:w="1260"/>
      </w:tblGrid>
      <w:tr>
        <w:tc>
          <w:tcPr>
            <w:tcW w:type="dxa" w:w="28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 / Mejora solicitada</w:t>
            </w:r>
          </w:p>
        </w:tc>
        <w:tc>
          <w:tcPr>
            <w:tcW w:type="dxa" w:w="14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Actores internos</w:t>
            </w:r>
          </w:p>
        </w:tc>
        <w:tc>
          <w:tcPr>
            <w:tcW w:type="dxa" w:w="14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Clientes (n=15)</w:t>
            </w:r>
          </w:p>
        </w:tc>
        <w:tc>
          <w:tcPr>
            <w:tcW w:type="dxa" w:w="14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menciones</w:t>
            </w:r>
          </w:p>
        </w:tc>
        <w:tc>
          <w:tcPr>
            <w:tcW w:type="dxa" w:w="11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(n=19)</w:t>
            </w:r>
          </w:p>
        </w:tc>
        <w:tc>
          <w:tcPr>
            <w:tcW w:type="dxa" w:w="12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MoSCoW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POS – Cobro rápido / Registro de venta</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4</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5</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47.4%</w:t>
            </w:r>
          </w:p>
        </w:tc>
        <w:tc>
          <w:tcPr>
            <w:tcW w:type="dxa" w:w="12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Precios visibles y claros al cliente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5</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26.3%</w:t>
            </w:r>
          </w:p>
        </w:tc>
        <w:tc>
          <w:tcPr>
            <w:tcW w:type="dxa" w:w="12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Control de inventario + alertas de stock</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2D2D2D"/>
                <w:sz w:val="18"/>
                <w:szCs w:val="18"/>
              </w:rPr>
              <w:t xml:space="preserve">0</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2</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10.5%</w:t>
            </w:r>
          </w:p>
        </w:tc>
        <w:tc>
          <w:tcPr>
            <w:tcW w:type="dxa" w:w="12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Pagos digitales (Nequi / Daviplata / Tarjeta)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4</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21.1%</w:t>
            </w:r>
          </w:p>
        </w:tc>
        <w:tc>
          <w:tcPr>
            <w:tcW w:type="dxa" w:w="1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Tiquete / Factura de compra</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2D2D2D"/>
                <w:sz w:val="18"/>
                <w:szCs w:val="18"/>
              </w:rPr>
              <w:t xml:space="preserve">0</w:t>
            </w:r>
          </w:p>
        </w:tc>
        <w:tc>
          <w:tcPr>
            <w:tcW w:type="dxa" w:w="1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2</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10.5%</w:t>
            </w:r>
          </w:p>
        </w:tc>
        <w:tc>
          <w:tcPr>
            <w:tcW w:type="dxa" w:w="1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Gestión de crédito / Fiado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0</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1</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5.3%</w:t>
            </w:r>
          </w:p>
        </w:tc>
        <w:tc>
          <w:tcPr>
            <w:tcW w:type="dxa" w:w="1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r>
    </w:tbl>
    <w:p>
      <w:pPr>
        <w:spacing w:after="60" w:before="100"/>
      </w:pPr>
      <w:r>
        <w:t xml:space="preserve"/>
      </w:r>
    </w:p>
    <w:p>
      <w:pPr>
        <w:spacing w:after="120" w:before="60"/>
        <w:jc w:val="both"/>
      </w:pPr>
      <w:r>
        <w:rPr>
          <w:rFonts w:ascii="Arial" w:cs="Arial" w:eastAsia="Arial" w:hAnsi="Arial"/>
          <w:color w:val="2D2D2D"/>
          <w:sz w:val="20"/>
          <w:szCs w:val="20"/>
        </w:rPr>
        <w:t xml:space="preserve">Interpretación (G1): El POS (cobro rápido) lidera con 9 menciones de 19 actores (47.4%): la totalidad de actores internos lo requiere porque el 44% del tiempo de cada transacción se pierde en suma manual con calculadora, y 5 clientes reportaron esperas inaceptables. "Precios visibles" ocupa el 2.° lugar (26.3%), impulsado por 4 clientes y confirmado por el documento D04 (8 precios incorrectos). Esto valida RF01 y RF02 como los dos Must Have de mayor peso del MVP.</w:t>
      </w:r>
    </w:p>
    <w:p>
      <w:pPr>
        <w:pStyle w:val="Heading2"/>
        <w:spacing w:after="120" w:before="240"/>
      </w:pPr>
      <w:r>
        <w:rPr>
          <w:rFonts w:ascii="Arial" w:cs="Arial" w:eastAsia="Arial" w:hAnsi="Arial"/>
          <w:b/>
          <w:bCs/>
          <w:color w:val="1a5f9e"/>
          <w:sz w:val="26"/>
          <w:szCs w:val="26"/>
        </w:rPr>
        <w:t xml:space="preserve">2.2 Tarea T2 — Estadísticas del Proceso de Venta</w:t>
      </w:r>
    </w:p>
    <w:p>
      <w:pPr>
        <w:spacing w:after="100" w:before="60"/>
        <w:jc w:val="both"/>
      </w:pPr>
      <w:r>
        <w:rPr>
          <w:rFonts w:ascii="Arial" w:cs="Arial" w:eastAsia="Arial" w:hAnsi="Arial"/>
          <w:color w:val="2D2D2D"/>
          <w:sz w:val="20"/>
          <w:szCs w:val="20"/>
        </w:rPr>
        <w:t xml:space="preserve">La ficha de observación directa registró los tiempos de cada paso del proceso de venta en horario pico (12:00–14:00 h). La siguiente tabla presenta las estadísticas descriptivas calculadas: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560"/>
        <w:gridCol w:w="1440"/>
        <w:gridCol w:w="1560"/>
      </w:tblGrid>
      <w:tr>
        <w:tc>
          <w:tcPr>
            <w:tcW w:type="dxa" w:w="24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del proceso</w:t>
            </w:r>
          </w:p>
        </w:tc>
        <w:tc>
          <w:tcPr>
            <w:tcW w:type="dxa" w:w="12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Mín (seg)</w:t>
            </w:r>
          </w:p>
        </w:tc>
        <w:tc>
          <w:tcPr>
            <w:tcW w:type="dxa" w:w="12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Máx (seg)</w:t>
            </w:r>
          </w:p>
        </w:tc>
        <w:tc>
          <w:tcPr>
            <w:tcW w:type="dxa" w:w="15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Promedio (seg)</w:t>
            </w:r>
          </w:p>
        </w:tc>
        <w:tc>
          <w:tcPr>
            <w:tcW w:type="dxa" w:w="144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del total</w:t>
            </w:r>
          </w:p>
        </w:tc>
        <w:tc>
          <w:tcPr>
            <w:tcW w:type="dxa" w:w="15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 de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 Cliente lleva productos al mostrador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30.0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7.9%</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E7D32"/>
                <w:sz w:val="18"/>
                <w:szCs w:val="18"/>
              </w:rPr>
              <w:t xml:space="preserve">Bajo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 Identificar precio de cada producto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105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82.5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21.6%</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C62828"/>
                <w:sz w:val="18"/>
                <w:szCs w:val="18"/>
              </w:rPr>
              <w:t xml:space="preserve">Alto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 Sumar precios con calculadora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150</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120.0</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31.4%*</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C62828"/>
                <w:sz w:val="18"/>
                <w:szCs w:val="18"/>
              </w:rPr>
              <w:t xml:space="preserve">Alto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 Anotar venta en cuaderno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90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75.0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19.6%</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65100"/>
                <w:sz w:val="18"/>
                <w:szCs w:val="18"/>
              </w:rPr>
              <w:t xml:space="preserve">Medio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 Calcular y entregar cambio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50.0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13.1%</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65100"/>
                <w:sz w:val="18"/>
                <w:szCs w:val="18"/>
              </w:rPr>
              <w:t xml:space="preserve">Medio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 Archivar tiquete / recibo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25.0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E7D32"/>
                <w:sz w:val="18"/>
                <w:szCs w:val="18"/>
              </w:rPr>
              <w:t xml:space="preserve">Bajo</w:t>
            </w:r>
          </w:p>
        </w:tc>
      </w:tr>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TOTAL POR TRANSACCIÓN</w:t>
            </w:r>
          </w:p>
        </w:tc>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300</w:t>
            </w:r>
          </w:p>
        </w:tc>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465</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382.5</w:t>
            </w:r>
          </w:p>
        </w:tc>
        <w:tc>
          <w:tcPr>
            <w:tcW w:type="dxa" w:w="14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100%</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w:t>
            </w:r>
          </w:p>
        </w:tc>
      </w:tr>
    </w:tbl>
    <w:p>
      <w:pPr>
        <w:spacing w:after="60" w:before="80"/>
      </w:pPr>
      <w:r>
        <w:t xml:space="preserve"/>
      </w:r>
    </w:p>
    <w:p>
      <w:pPr>
        <w:spacing w:after="80" w:before="60"/>
        <w:jc w:val="both"/>
      </w:pPr>
      <w:r>
        <w:rPr>
          <w:rFonts w:ascii="Arial" w:cs="Arial" w:eastAsia="Arial" w:hAnsi="Arial"/>
          <w:color w:val="5A5A5A"/>
          <w:sz w:val="18"/>
          <w:szCs w:val="18"/>
        </w:rPr>
        <w:t xml:space="preserve">* El 44% reportado en la ficha de observación original agrupa los pasos 2 y 3 como cuello de botella principal.</w:t>
      </w:r>
    </w:p>
    <w:p>
      <w:pPr>
        <w:spacing w:after="40" w:before="80"/>
      </w:pPr>
      <w:r>
        <w:t xml:space="preserve"/>
      </w:r>
    </w:p>
    <w:p>
      <w:pPr>
        <w:spacing w:after="60" w:before="60"/>
        <w:jc w:val="both"/>
      </w:pPr>
      <w:r>
        <w:rPr>
          <w:rFonts w:ascii="Arial" w:cs="Arial" w:eastAsia="Arial" w:hAnsi="Arial"/>
          <w:b/>
          <w:bCs/>
          <w:color w:val="2D2D2D"/>
          <w:sz w:val="20"/>
          <w:szCs w:val="20"/>
        </w:rPr>
        <w:t xml:space="preserve">Estadísticas de ventas diarias (fuente D01 — cuaderno enero–septiembre 2024):</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Estadístico</w:t>
            </w:r>
          </w:p>
        </w:tc>
        <w:tc>
          <w:tcPr>
            <w:tcW w:type="dxa" w:w="25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Mínimo de ventas/día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35 transacciones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Máximo de ventas/día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50 transacciones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Promedio de ventas/día</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42.5 transacciones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Tiempo promedio/transacción</w:t>
            </w:r>
          </w:p>
        </w:tc>
        <w:tc>
          <w:tcPr>
            <w:tcW w:type="dxa" w:w="2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382.5 segundos (actual)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Tiempo proyectado con POS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D2D2D"/>
                <w:sz w:val="18"/>
                <w:szCs w:val="18"/>
              </w:rPr>
              <w:t xml:space="preserve">~145 segundos (reducción 62%)</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Tiempo diario recuperable</w:t>
            </w:r>
          </w:p>
        </w:tc>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003DA5"/>
                <w:sz w:val="18"/>
                <w:szCs w:val="18"/>
              </w:rPr>
              <w:t xml:space="preserve">~3.7 horas productivas/día</w:t>
            </w:r>
          </w:p>
        </w:tc>
      </w:tr>
    </w:tbl>
    <w:p>
      <w:pPr>
        <w:spacing w:after="80" w:before="80"/>
      </w:pPr>
      <w:r>
        <w:t xml:space="preserve"/>
      </w:r>
    </w:p>
    <w:p>
      <w:pPr>
        <w:spacing w:after="160" w:before="60"/>
        <w:jc w:val="both"/>
      </w:pPr>
      <w:r>
        <w:rPr>
          <w:rFonts w:ascii="Arial" w:cs="Arial" w:eastAsia="Arial" w:hAnsi="Arial"/>
          <w:color w:val="2D2D2D"/>
          <w:sz w:val="20"/>
          <w:szCs w:val="20"/>
        </w:rPr>
        <w:t xml:space="preserve">Conclusión estadística: El sistema debe soportar mínimo 50 transacciones/día (máximo observado) con margen de crecimiento para los sábados, que constituyen el pico de carga. La automatización del paso 3 (suma manual) es la intervención de mayor retorno: eliminar 120 segundos promedio por transacción implica recuperar aproximadamente 85 minutos diarios de trabajo productivo, equivalente a 3.7 horas considerando las 42.5 ventas promedio diarias.</w:t>
      </w:r>
    </w:p>
    <w:p>
      <w:r>
        <w:br w:type="page"/>
      </w:r>
    </w:p>
    <w:p>
      <w:pPr>
        <w:pStyle w:val="Heading1"/>
        <w:pBdr>
          <w:bottom w:val="single" w:color="003DA5" w:sz="6" w:space="4"/>
        </w:pBdr>
        <w:spacing w:after="160" w:before="320"/>
      </w:pPr>
      <w:r>
        <w:rPr>
          <w:rFonts w:ascii="Arial" w:cs="Arial" w:eastAsia="Arial" w:hAnsi="Arial"/>
          <w:b/>
          <w:bCs/>
          <w:color w:val="003DA5"/>
          <w:sz w:val="32"/>
          <w:szCs w:val="32"/>
        </w:rPr>
        <w:t xml:space="preserve">03. Lista de Requisitos Identificados (T6)</w:t>
      </w:r>
    </w:p>
    <w:p>
      <w:pPr>
        <w:spacing w:after="120" w:before="60"/>
        <w:jc w:val="both"/>
      </w:pPr>
      <w:r>
        <w:rPr>
          <w:rFonts w:ascii="Arial" w:cs="Arial" w:eastAsia="Arial" w:hAnsi="Arial"/>
          <w:color w:val="2D2D2D"/>
          <w:sz w:val="20"/>
          <w:szCs w:val="20"/>
        </w:rPr>
        <w:t xml:space="preserve">La siguiente tabla consolida el catálogo completo de requisitos identificados durante la recolección de información y el análisis cualitativo. Cada requisito incluye ID único, descripción, tipo y fuente, dando cumplimiento a la Tarea T6 de la guía de laboratorio.</w:t>
      </w:r>
    </w:p>
    <w:p>
      <w:pPr>
        <w:pStyle w:val="Heading2"/>
        <w:spacing w:after="120" w:before="240"/>
      </w:pPr>
      <w:r>
        <w:rPr>
          <w:rFonts w:ascii="Arial" w:cs="Arial" w:eastAsia="Arial" w:hAnsi="Arial"/>
          <w:b/>
          <w:bCs/>
          <w:color w:val="1a5f9e"/>
          <w:sz w:val="26"/>
          <w:szCs w:val="26"/>
        </w:rPr>
        <w:t xml:space="preserve">3.1 Requerimientos Funcionales (RF)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1200"/>
        <w:gridCol w:w="3840"/>
        <w:gridCol w:w="2000"/>
      </w:tblGrid>
      <w:tr>
        <w:tc>
          <w:tcPr>
            <w:tcW w:type="dxa" w:w="72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6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12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84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0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 / Origen</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RF01</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Registro de Venta — POS Básico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Registrar venta seleccionando productos del catálogo; calcular subtotal y total automáticamente; registrar método de pago (efectivo/digital). Elimina 120 seg de suma manual (44% del tiempo).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 · Obs. Pasos 2–3 · Encuesta E8</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RF02</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Catálogo de Productos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Gestionar hasta 90 productos (nombre, precio, categoría, stock). Búsqueda por nombre. Solo Administrador puede crear/editar/eliminar productos.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P2 · D04 (8 precios incorrectos) · Diego Morales</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RF03</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Control de Inventario y Alertas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Descontar stock automáticamente al registrar cada venta. Emitir alerta visible al Administrador cuando el stock llegue al mínimo configurado.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P3 · D05 · Carlos Ruiz: «No sé cuándo se acaba»</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RF04</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Corte de Caja Diario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Generar resumen diario de ventas: total en efectivo, total digital, número de transacciones, diferencia vs. caja física reportada por el Administrador.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P6 · D06 (sin desglose)</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RF05</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Gestión de Crédito / Fiado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Registrar créditos por cliente: monto, fecha, abonos y saldo pendiente. Alertas de deudas con más de 30 días sin abono.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P8 · D02: 12 clientes, $336.000 COP cartera</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RF06</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Generación de Tiquete de Venta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Generar tiquete con: fecha/hora, productos, total, método de pago y cajero. Imprimible o enviable por WhatsApp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Encuesta E5 · Carmen Acosta, Patricia Molina, Pedro Jiménez</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RF07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Historial de Ventas con Filtros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Consultar historial filtrado por rango de fechas, empleado o producto. Empleados ven solo sus propias ventas.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P6 · D01 (sin clasificación)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RF08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Reporte Productos Más Vendidos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Reporte semanal/mensual de los 10 productos más vendidos por unidad y valor; identificar hora pico de mayor número de transacciones.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P6 · D01 sin análisis de hora pico</w:t>
            </w:r>
          </w:p>
        </w:tc>
      </w:tr>
    </w:tbl>
    <w:p>
      <w:pPr>
        <w:spacing w:after="40" w:before="140"/>
      </w:pPr>
      <w:r>
        <w:t xml:space="preserve"/>
      </w:r>
    </w:p>
    <w:p>
      <w:pPr>
        <w:pStyle w:val="Heading2"/>
        <w:spacing w:after="120" w:before="240"/>
      </w:pPr>
      <w:r>
        <w:rPr>
          <w:rFonts w:ascii="Arial" w:cs="Arial" w:eastAsia="Arial" w:hAnsi="Arial"/>
          <w:b/>
          <w:bCs/>
          <w:color w:val="1a5f9e"/>
          <w:sz w:val="26"/>
          <w:szCs w:val="26"/>
        </w:rPr>
        <w:t xml:space="preserve">3.2 Requerimientos No Funcionales (RNF)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800"/>
        <w:gridCol w:w="3840"/>
        <w:gridCol w:w="2960"/>
      </w:tblGrid>
      <w:tr>
        <w:tc>
          <w:tcPr>
            <w:tcW w:type="dxa" w:w="7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8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384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9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 / Prioridad</w:t>
            </w:r>
          </w:p>
        </w:tc>
      </w:tr>
      <w:tr>
        <w:tc>
          <w:tcPr>
            <w:tcW w:type="dxa" w:w="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RNF01</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Interfaz Intuitiva (≤2h inducción)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Cualquier operario sin experiencia técnica debe completar una venta completa tras sesión de inducción máxima de 2 horas. Íconos y etiquetas en español colombiano.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P10 · «Que sea sencillo» · Must Have 🔴</w:t>
            </w:r>
          </w:p>
        </w:tc>
      </w:tr>
      <w:tr>
        <w:tc>
          <w:tcPr>
            <w:tcW w:type="dxa" w:w="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RNF02</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Modo Offline Obligatorio</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Funcionalidad completa de ventas e inventario sin conexión a internet. Al recuperar conexión, sincronizar en menos de 5 minutos.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P11 · Internet inestable · Must Have 🔴</w:t>
            </w:r>
          </w:p>
        </w:tc>
      </w:tr>
      <w:tr>
        <w:tc>
          <w:tcPr>
            <w:tcW w:type="dxa" w:w="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RNF03</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Tiempo de respuesta ≤3 segundos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Registro de venta con hasta 15 productos en ≤3 segundos desde confirmación hasta generación de tiquete, en hardware mínimo (Android 8.0, 2 GB RAM).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Ficha obs. Paso 3 (120 seg) · Should Have 🟠</w:t>
            </w:r>
          </w:p>
        </w:tc>
      </w:tr>
      <w:tr>
        <w:tc>
          <w:tcPr>
            <w:tcW w:type="dxa" w:w="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RNF04</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Control de Acceso por Roles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Dos roles: Administrador (acceso total) y Empleado (solo ventas + inventario en lectura). Sin acceso a reportes financieros ni edición de precios para empleados.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P9 · «Solo yo debo ver las ventas» · Should Have 🟠</w:t>
            </w:r>
          </w:p>
        </w:tc>
      </w:tr>
      <w:tr>
        <w:tc>
          <w:tcPr>
            <w:tcW w:type="dxa" w:w="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RNF05</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Compatibilidad Hardware Bajo Costo</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Funcionar correctamente en tablet Android 8.0+ con 2 GB RAM mínimo, o PC con Windows 10 y 2 GB RAM. Sin hardware especializado.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P12 · Presupuesto limitado · Must Have 🔴</w:t>
            </w:r>
          </w:p>
        </w:tc>
      </w:tr>
      <w:tr>
        <w:tc>
          <w:tcPr>
            <w:tcW w:type="dxa" w:w="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RNF06</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Actualización Catálogo sin Técnico</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El Administrador puede agregar, editar o eliminar productos sin asistencia técnica. Cada operación completable en máximo 3 clics.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D04 (8 precios desactualizados) · Should Have 🟠</w:t>
            </w:r>
          </w:p>
        </w:tc>
      </w:tr>
      <w:tr>
        <w:tc>
          <w:tcPr>
            <w:tcW w:type="dxa" w:w="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RNF07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Backup Automático Diario</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Copia de seguridad automática al cierre de jornada, localmente y en nube (Google Drive) si hay conexión. Riesgo D01–D06: todo físico sin respaldo.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D01–D06 sin respaldo · Should Have 🟠</w:t>
            </w:r>
          </w:p>
        </w:tc>
      </w:tr>
    </w:tbl>
    <w:p>
      <w:pPr>
        <w:spacing w:after="40" w:before="140"/>
      </w:pPr>
      <w:r>
        <w:t xml:space="preserve"/>
      </w:r>
    </w:p>
    <w:p>
      <w:pPr>
        <w:pStyle w:val="Heading2"/>
        <w:spacing w:after="120" w:before="240"/>
      </w:pPr>
      <w:r>
        <w:rPr>
          <w:rFonts w:ascii="Arial" w:cs="Arial" w:eastAsia="Arial" w:hAnsi="Arial"/>
          <w:b/>
          <w:bCs/>
          <w:color w:val="1a5f9e"/>
          <w:sz w:val="26"/>
          <w:szCs w:val="26"/>
        </w:rPr>
        <w:t xml:space="preserve">3.3 Requerimientos de Negocio (RN)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3840"/>
        <w:gridCol w:w="2760"/>
      </w:tblGrid>
      <w:tr>
        <w:tc>
          <w:tcPr>
            <w:tcW w:type="dxa" w:w="7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0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384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76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 / Prioridad</w:t>
            </w:r>
          </w:p>
        </w:tc>
      </w:tr>
      <w:tr>
        <w:tc>
          <w:tcPr>
            <w:tcW w:type="dxa" w:w="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RN01</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Sin Costo de Licencia Mensual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El sistema debe ser de costo único de desarrollo o licencia anual. No se aceptan modelos de suscripción mensual de alto costo.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P12 · Microempresa familiar · Must Have 🔴</w:t>
            </w:r>
          </w:p>
        </w:tc>
      </w:tr>
      <w:tr>
        <w:tc>
          <w:tcPr>
            <w:tcW w:type="dxa" w:w="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RN02</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Autonomía Operativa</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El propietario debe resolver situaciones básicas (reinicio, actualización de precios, cierre de caja) de forma autónoma, sin dependencia técnica externa.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Entrevista P10 · Perfil sin experiencia técnica · Must Have 🔴</w:t>
            </w:r>
          </w:p>
        </w:tc>
      </w:tr>
    </w:tbl>
    <w:p>
      <w:pPr>
        <w:spacing w:after="80" w:before="160"/>
      </w:pPr>
      <w:r>
        <w:t xml:space="preserve"/>
      </w:r>
    </w:p>
    <w:p>
      <w:r>
        <w:br w:type="page"/>
      </w:r>
    </w:p>
    <w:p>
      <w:pPr>
        <w:pStyle w:val="Heading1"/>
        <w:pBdr>
          <w:bottom w:val="single" w:color="003DA5" w:sz="6" w:space="4"/>
        </w:pBdr>
        <w:spacing w:after="160" w:before="320"/>
      </w:pPr>
      <w:r>
        <w:rPr>
          <w:rFonts w:ascii="Arial" w:cs="Arial" w:eastAsia="Arial" w:hAnsi="Arial"/>
          <w:b/>
          <w:bCs/>
          <w:color w:val="003DA5"/>
          <w:sz w:val="32"/>
          <w:szCs w:val="32"/>
        </w:rPr>
        <w:t xml:space="preserve">04. Matriz de Priorización MoSCoW (T5)</w:t>
      </w:r>
    </w:p>
    <w:p>
      <w:pPr>
        <w:spacing w:after="120" w:before="60"/>
        <w:jc w:val="both"/>
      </w:pPr>
      <w:r>
        <w:rPr>
          <w:rFonts w:ascii="Arial" w:cs="Arial" w:eastAsia="Arial" w:hAnsi="Arial"/>
          <w:color w:val="2D2D2D"/>
          <w:sz w:val="20"/>
          <w:szCs w:val="20"/>
        </w:rPr>
        <w:t xml:space="preserve">La siguiente matriz presenta la priorización de todos los requisitos identificados, utilizando el modelo MoSCoW adaptado con criterios de Importancia (I, escala 1–3) y Urgencia (U, escala 1–3). La prioridad final se calcula como I × U, donde: ≥7 = Must Have, 4–6 = Should Have, ≤3 = Could Have. Esta tabla da cumplimiento a la Tarea T5 de la guía de laboratorio.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00"/>
        <w:gridCol w:w="600"/>
        <w:gridCol w:w="800"/>
        <w:gridCol w:w="1400"/>
        <w:gridCol w:w="3240"/>
      </w:tblGrid>
      <w:tr>
        <w:tc>
          <w:tcPr>
            <w:tcW w:type="dxa" w:w="72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0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 (1–3)</w:t>
            </w:r>
          </w:p>
        </w:tc>
        <w:tc>
          <w:tcPr>
            <w:tcW w:type="dxa" w:w="6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 (1–3)</w:t>
            </w:r>
          </w:p>
        </w:tc>
        <w:tc>
          <w:tcPr>
            <w:tcW w:type="dxa" w:w="8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 × U</w:t>
            </w:r>
          </w:p>
        </w:tc>
        <w:tc>
          <w:tcPr>
            <w:tcW w:type="dxa" w:w="140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MoSCoW</w:t>
            </w:r>
          </w:p>
        </w:tc>
        <w:tc>
          <w:tcPr>
            <w:tcW w:type="dxa" w:w="3240"/>
            <w:tcBorders>
              <w:top w:val="single" w:color="003DA5" w:sz="6"/>
              <w:left w:val="single" w:color="003DA5" w:sz="6"/>
              <w:bottom w:val="single" w:color="003DA5" w:sz="6"/>
              <w:right w:val="single" w:color="003DA5" w:sz="6"/>
            </w:tcBorders>
            <w:shd w:fill="003D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 del puntaje</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RF01</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Registro de Venta / POS</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9 de 19 actores (47.4%) lo solicitaron. El 44% del tiempo por transacción se pierde sin él.</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RF02</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Catálogo de Productos</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8 precios incorrectos en D04; 4 clientes reportaron cobros errados. Base del sistema.</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RNF01</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Interfaz intuitiva (≤2h inducción)</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Sin usabilidad el MVP será rechazado. Declarado explícitamente por Carlos Ruiz.</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RNF02</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Modo offline obligatorio</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Internet inestable; sin offline el sistema queda inutilizable en caídas de conexión.</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RNF05</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Hardware de bajo costo</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6</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Restricción presupuestal crítica; determina la viabilidad técnica y económica del MVP.</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RN01</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Sin costo de licencia mensual</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Costos recurrentes altos cancelarían el proyecto en microempresa informal.</w:t>
            </w:r>
          </w:p>
        </w:tc>
      </w:tr>
      <w:tr>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RN02</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D2D2D"/>
                <w:sz w:val="18"/>
                <w:szCs w:val="18"/>
              </w:rPr>
              <w:t xml:space="preserve">Autonomía operativa</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9</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Must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 hay soporte técnico disponible en el barrio para una microempresa familiar.</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RF03</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Control de Inventario + Alertas</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6</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Crítico para el propietario pero el negocio puede operar algunos días sin él.</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RF04</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Corte de Caja Diario</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6</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Urgente para control financiero pero puede iniciarse con reporte manual provisional.</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RF05</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Gestión de Crédito / Fiado</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$336.000 COP en cartera sin control; importante pero no bloquea ventas.</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RF06</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Tiquete de Venta</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 clientes lo exigen siempre; 1 por necesidad familiar. Demanda concreta.</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RNF03</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Tiempo respuesta ≤3 seg</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Derivado de la meta de velocidad; medible en pruebas de aceptación del MVP.</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RNF04</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Control de acceso por roles</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6</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Crítico para seguridad financiera pero no bloquea la operación inicial.</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RNF06</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Actualización catálogo sin técnico</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Resuelve D04 de forma autónoma; derivado de RNF01 (autonomía del propietario).</w:t>
            </w:r>
          </w:p>
        </w:tc>
      </w:tr>
      <w:tr>
        <w:tc>
          <w:tcPr>
            <w:tcW w:type="dxa" w:w="7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RNF07</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2D2D2D"/>
                <w:sz w:val="18"/>
                <w:szCs w:val="18"/>
              </w:rPr>
              <w:t xml:space="preserve">Backup automático diario</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D2D2D"/>
                <w:sz w:val="18"/>
                <w:szCs w:val="18"/>
              </w:rPr>
              <w:t xml:space="preserve">2</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Should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D01–D06 físicos sin respaldo; pérdida de datos sería catastrófica.</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RF07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Historial de Ventas con filtros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A5A5A"/>
                <w:sz w:val="18"/>
                <w:szCs w:val="18"/>
              </w:rPr>
              <w:t xml:space="preserve">2</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F57F17"/>
                <w:sz w:val="18"/>
                <w:szCs w:val="18"/>
              </w:rPr>
              <w:t xml:space="preserve">Could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Útil para análisis pero D01 provee registro básico durante la transición.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18"/>
                <w:szCs w:val="18"/>
              </w:rPr>
              <w:t xml:space="preserve">RF08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Reporte Productos Más Vendidos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A5A5A"/>
                <w:sz w:val="18"/>
                <w:szCs w:val="18"/>
              </w:rPr>
              <w:t xml:space="preserve">1</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F57F17"/>
                <w:sz w:val="18"/>
                <w:szCs w:val="18"/>
              </w:rPr>
              <w:t xml:space="preserve">Could Have 🟡</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Análisis estratégico valioso pero no operativo en el MVP.</w:t>
            </w:r>
          </w:p>
        </w:tc>
      </w:tr>
    </w:tbl>
    <w:p>
      <w:pPr>
        <w:spacing w:after="80" w:before="160"/>
      </w:pPr>
      <w:r>
        <w:t xml:space="preserve"/>
      </w:r>
    </w:p>
    <w:p>
      <w:r>
        <w:br w:type="page"/>
      </w:r>
    </w:p>
    <w:p>
      <w:pPr>
        <w:pStyle w:val="Heading1"/>
        <w:pBdr>
          <w:bottom w:val="single" w:color="003DA5" w:sz="6" w:space="4"/>
        </w:pBdr>
        <w:spacing w:after="160" w:before="320"/>
      </w:pPr>
      <w:r>
        <w:rPr>
          <w:rFonts w:ascii="Arial" w:cs="Arial" w:eastAsia="Arial" w:hAnsi="Arial"/>
          <w:b/>
          <w:bCs/>
          <w:color w:val="003DA5"/>
          <w:sz w:val="32"/>
          <w:szCs w:val="32"/>
        </w:rPr>
        <w:t xml:space="preserve">05. Conclusión: Módulos que Necesita el Sistema</w:t>
      </w:r>
    </w:p>
    <w:p>
      <w:pPr>
        <w:spacing w:after="120" w:before="60"/>
        <w:jc w:val="both"/>
      </w:pPr>
      <w:r>
        <w:rPr>
          <w:rFonts w:ascii="Arial" w:cs="Arial" w:eastAsia="Arial" w:hAnsi="Arial"/>
          <w:color w:val="2D2D2D"/>
          <w:sz w:val="20"/>
          <w:szCs w:val="20"/>
        </w:rPr>
        <w:t xml:space="preserve">Con base en el análisis cualitativo, las estadísticas del proceso de venta, la tabla de frecuencias y la matriz de priorización MoSCoW desarrolladas en las secciones anteriores, se concluye que el Sistema de Punto de Venta e Inventario del Supermercado "La Esquina" requiere los siguientes módulos para constituir un MVP funcional y aceptable:</w:t>
      </w:r>
    </w:p>
    <w:p>
      <w:pPr>
        <w:pStyle w:val="Heading2"/>
        <w:spacing w:after="120" w:before="240"/>
      </w:pPr>
      <w:r>
        <w:rPr>
          <w:rFonts w:ascii="Arial" w:cs="Arial" w:eastAsia="Arial" w:hAnsi="Arial"/>
          <w:b/>
          <w:bCs/>
          <w:color w:val="1a5f9e"/>
          <w:sz w:val="26"/>
          <w:szCs w:val="26"/>
        </w:rPr>
        <w:t xml:space="preserve">Módulos Críticos — Must Have (implementación inmediata)</w:t>
      </w:r>
    </w:p>
    <w:p>
      <w:pPr>
        <w:pStyle w:val="ListParagraph"/>
        <w:numPr>
          <w:ilvl w:val="0"/>
          <w:numId w:val="2"/>
        </w:numPr>
        <w:spacing w:after="40" w:before="40"/>
      </w:pPr>
      <w:r>
        <w:rPr>
          <w:rFonts w:ascii="Arial" w:cs="Arial" w:eastAsia="Arial" w:hAnsi="Arial"/>
          <w:sz w:val="20"/>
          <w:szCs w:val="20"/>
        </w:rPr>
        <w:t xml:space="preserve">Módulo de Ventas / POS (M1): Es el módulo de mayor prioridad absoluta del proyecto. El cuello de botella operativo identificado en la ficha de observación (120 segundos promedio en suma manual, equivalente al 44% del tiempo por transacción) es completamente automatizable con un POS básico. Su implementación reduciría el tiempo de atención de 382 segundos a aproximadamente 145 segundos, recuperando 3.7 horas productivas diarias para el equipo de trabajo.</w:t>
      </w:r>
    </w:p>
    <w:p>
      <w:pPr>
        <w:pStyle w:val="ListParagraph"/>
        <w:numPr>
          <w:ilvl w:val="0"/>
          <w:numId w:val="2"/>
        </w:numPr>
        <w:spacing w:after="40" w:before="40"/>
      </w:pPr>
      <w:r>
        <w:rPr>
          <w:rFonts w:ascii="Arial" w:cs="Arial" w:eastAsia="Arial" w:hAnsi="Arial"/>
          <w:sz w:val="20"/>
          <w:szCs w:val="20"/>
        </w:rPr>
        <w:t xml:space="preserve">Módulo de Catálogo y Precios (M2): La existencia de 8 de 90 productos con precio incorrecto (8.9% del catálogo, documentado en D04) genera cobros erróneos que afectan la confianza de los clientes. Un catálogo digital centralizado garantiza que todos los puntos de venta muestren el precio correcto y actualizado, eliminando este problema estructural.</w:t>
      </w:r>
    </w:p>
    <w:p>
      <w:pPr>
        <w:pStyle w:val="ListParagraph"/>
        <w:numPr>
          <w:ilvl w:val="0"/>
          <w:numId w:val="2"/>
        </w:numPr>
        <w:spacing w:after="40" w:before="40"/>
      </w:pPr>
      <w:r>
        <w:rPr>
          <w:rFonts w:ascii="Arial" w:cs="Arial" w:eastAsia="Arial" w:hAnsi="Arial"/>
          <w:sz w:val="20"/>
          <w:szCs w:val="20"/>
        </w:rPr>
        <w:t xml:space="preserve">Módulo de Usuarios y Roles (M3): Carlos Ruiz manifestó explícitamente que «solo yo debo ver las ventas totales». El control de acceso diferenciado protege la información financiera sensible del negocio y es un requisito de seguridad básico en cualquier sistema multiusuario con cuatro operarios.</w:t>
      </w:r>
    </w:p>
    <w:p>
      <w:pPr>
        <w:pStyle w:val="ListParagraph"/>
        <w:numPr>
          <w:ilvl w:val="0"/>
          <w:numId w:val="2"/>
        </w:numPr>
        <w:spacing w:after="40" w:before="40"/>
      </w:pPr>
      <w:r>
        <w:rPr>
          <w:rFonts w:ascii="Arial" w:cs="Arial" w:eastAsia="Arial" w:hAnsi="Arial"/>
          <w:sz w:val="20"/>
          <w:szCs w:val="20"/>
        </w:rPr>
        <w:t xml:space="preserve">Modo Offline Obligatorio (infraestructura): El internet del establecimiento es de tipo domiciliario básico con cortes intermitentes, confirmado en la entrevista P11. El sistema no puede depender de la conectividad para sus operaciones core. Este requisito determina la arquitectura completa del sistema y es no negociable.</w:t>
      </w:r>
    </w:p>
    <w:p>
      <w:pPr>
        <w:spacing w:after="40" w:before="80"/>
      </w:pPr>
      <w:r>
        <w:t xml:space="preserve"/>
      </w:r>
    </w:p>
    <w:p>
      <w:pPr>
        <w:pStyle w:val="Heading2"/>
        <w:spacing w:after="120" w:before="240"/>
      </w:pPr>
      <w:r>
        <w:rPr>
          <w:rFonts w:ascii="Arial" w:cs="Arial" w:eastAsia="Arial" w:hAnsi="Arial"/>
          <w:b/>
          <w:bCs/>
          <w:color w:val="1a5f9e"/>
          <w:sz w:val="26"/>
          <w:szCs w:val="26"/>
        </w:rPr>
        <w:t xml:space="preserve">Módulos de Alta Relevancia — Should Have (segunda iteración)</w:t>
      </w:r>
    </w:p>
    <w:p>
      <w:pPr>
        <w:pStyle w:val="ListParagraph"/>
        <w:numPr>
          <w:ilvl w:val="0"/>
          <w:numId w:val="2"/>
        </w:numPr>
        <w:spacing w:after="40" w:before="40"/>
      </w:pPr>
      <w:r>
        <w:rPr>
          <w:rFonts w:ascii="Arial" w:cs="Arial" w:eastAsia="Arial" w:hAnsi="Arial"/>
          <w:sz w:val="20"/>
          <w:szCs w:val="20"/>
        </w:rPr>
        <w:t xml:space="preserve">Módulo de Corte de Caja (M4): El documento D06 actual no permite identificar el empleado que registró cada venta, los productos más vendidos ni las horas pico. Un corte de caja digital con desglose por empleado y método de pago resuelve la imposibilidad de auditoría actual.</w:t>
      </w:r>
    </w:p>
    <w:p>
      <w:pPr>
        <w:pStyle w:val="ListParagraph"/>
        <w:numPr>
          <w:ilvl w:val="0"/>
          <w:numId w:val="2"/>
        </w:numPr>
        <w:spacing w:after="40" w:before="40"/>
      </w:pPr>
      <w:r>
        <w:rPr>
          <w:rFonts w:ascii="Arial" w:cs="Arial" w:eastAsia="Arial" w:hAnsi="Arial"/>
          <w:sz w:val="20"/>
          <w:szCs w:val="20"/>
        </w:rPr>
        <w:t xml:space="preserve">Módulo de Gestión de Crédito / Fiado (M6): Con $336.000 COP en cartera activa (12 clientes × $28.000 promedio) sin registro de abonos ni saldo actualizado (D02), el negocio está expuesto a pérdidas no cuantificadas por olvido. Este módulo es urgente pero no bloquea la operación diaria de ventas.</w:t>
      </w:r>
    </w:p>
    <w:p>
      <w:pPr>
        <w:pStyle w:val="ListParagraph"/>
        <w:numPr>
          <w:ilvl w:val="0"/>
          <w:numId w:val="2"/>
        </w:numPr>
        <w:spacing w:after="40" w:before="40"/>
      </w:pPr>
      <w:r>
        <w:rPr>
          <w:rFonts w:ascii="Arial" w:cs="Arial" w:eastAsia="Arial" w:hAnsi="Arial"/>
          <w:sz w:val="20"/>
          <w:szCs w:val="20"/>
        </w:rPr>
        <w:t xml:space="preserve">Generación de Tiquetes de Venta (M5 parcial): Dos clientes lo exigen siempre y uno por necesidad familiar. Es una funcionalidad de baja complejidad técnica con alto impacto en la percepción del servicio.</w:t>
      </w:r>
    </w:p>
    <w:p>
      <w:pPr>
        <w:spacing w:after="40" w:before="80"/>
      </w:pPr>
      <w:r>
        <w:t xml:space="preserve"/>
      </w:r>
    </w:p>
    <w:p>
      <w:pPr>
        <w:pStyle w:val="Heading2"/>
        <w:spacing w:after="120" w:before="240"/>
      </w:pPr>
      <w:r>
        <w:rPr>
          <w:rFonts w:ascii="Arial" w:cs="Arial" w:eastAsia="Arial" w:hAnsi="Arial"/>
          <w:b/>
          <w:bCs/>
          <w:color w:val="1a5f9e"/>
          <w:sz w:val="26"/>
          <w:szCs w:val="26"/>
        </w:rPr>
        <w:t xml:space="preserve">Conclusión General</w:t>
      </w:r>
    </w:p>
    <w:p>
      <w:pPr>
        <w:spacing w:after="80" w:before="60"/>
        <w:jc w:val="both"/>
      </w:pPr>
      <w:r>
        <w:rPr>
          <w:rFonts w:ascii="Arial" w:cs="Arial" w:eastAsia="Arial" w:hAnsi="Arial"/>
          <w:color w:val="2D2D2D"/>
          <w:sz w:val="20"/>
          <w:szCs w:val="20"/>
        </w:rPr>
        <w:t xml:space="preserve">El análisis de los datos recolectados confirma que el Supermercado "La Esquina" opera con procesos completamente manuales que generan ineficiencias cuantificables y pérdidas concretas. El MVP viable debe concentrarse en tres transformaciones fundamentales:</w:t>
      </w:r>
    </w:p>
    <w:p>
      <w:pPr>
        <w:pStyle w:val="ListParagraph"/>
        <w:numPr>
          <w:ilvl w:val="0"/>
          <w:numId w:val="2"/>
        </w:numPr>
        <w:spacing w:after="40" w:before="40"/>
      </w:pPr>
      <w:r>
        <w:rPr>
          <w:rFonts w:ascii="Arial" w:cs="Arial" w:eastAsia="Arial" w:hAnsi="Arial"/>
          <w:sz w:val="20"/>
          <w:szCs w:val="20"/>
        </w:rPr>
        <w:t xml:space="preserve">Automatización del cobro: eliminar la suma manual con calculadora mediante un POS básico (RF01 + RF02).</w:t>
      </w:r>
    </w:p>
    <w:p>
      <w:pPr>
        <w:pStyle w:val="ListParagraph"/>
        <w:numPr>
          <w:ilvl w:val="0"/>
          <w:numId w:val="2"/>
        </w:numPr>
        <w:spacing w:after="40" w:before="40"/>
      </w:pPr>
      <w:r>
        <w:rPr>
          <w:rFonts w:ascii="Arial" w:cs="Arial" w:eastAsia="Arial" w:hAnsi="Arial"/>
          <w:sz w:val="20"/>
          <w:szCs w:val="20"/>
        </w:rPr>
        <w:t xml:space="preserve">Visibilidad del inventario: reemplazar la gestión por memoria por un sistema de alertas de stock mínimo (RF03).</w:t>
      </w:r>
    </w:p>
    <w:p>
      <w:pPr>
        <w:pStyle w:val="ListParagraph"/>
        <w:numPr>
          <w:ilvl w:val="0"/>
          <w:numId w:val="2"/>
        </w:numPr>
        <w:spacing w:after="40" w:before="40"/>
      </w:pPr>
      <w:r>
        <w:rPr>
          <w:rFonts w:ascii="Arial" w:cs="Arial" w:eastAsia="Arial" w:hAnsi="Arial"/>
          <w:sz w:val="20"/>
          <w:szCs w:val="20"/>
        </w:rPr>
        <w:t xml:space="preserve">Trazabilidad financiera: sustituir el corte manual del cuaderno D06 por un resumen digital verificable (RF04).</w:t>
      </w:r>
    </w:p>
    <w:p>
      <w:pPr>
        <w:spacing w:after="60" w:before="80"/>
      </w:pPr>
      <w:r>
        <w:t xml:space="preserve"/>
      </w:r>
    </w:p>
    <w:p>
      <w:pPr>
        <w:spacing w:after="120" w:before="60"/>
        <w:jc w:val="both"/>
      </w:pPr>
      <w:r>
        <w:rPr>
          <w:rFonts w:ascii="Arial" w:cs="Arial" w:eastAsia="Arial" w:hAnsi="Arial"/>
          <w:color w:val="2D2D2D"/>
          <w:sz w:val="20"/>
          <w:szCs w:val="20"/>
        </w:rPr>
        <w:t xml:space="preserve">Estas tres transformaciones, combinadas con los requisitos no funcionales de usabilidad (RNF01: máximo 2 horas de inducción) y operación offline (RNF02), constituyen el núcleo mínimo viable del sistema y son condición suficiente para generar un impacto positivo medible en la operación diaria del negocio desde el primer día de implementación. Los módulos de crédito, tiquetes, historial y reportes avanzados constituyen la hoja de ruta de las versiones 1.1 y 1.2 del sistema.</w:t>
      </w:r>
    </w:p>
    <w:p>
      <w:pPr>
        <w:spacing w:after="40" w:before="120"/>
      </w:pPr>
      <w:r>
        <w:t xml:space="preserve"/>
      </w:r>
    </w:p>
    <w:p>
      <w:pPr>
        <w:pStyle w:val="Heading2"/>
        <w:spacing w:after="120" w:before="240"/>
      </w:pPr>
      <w:r>
        <w:rPr>
          <w:rFonts w:ascii="Arial" w:cs="Arial" w:eastAsia="Arial" w:hAnsi="Arial"/>
          <w:b/>
          <w:bCs/>
          <w:color w:val="1a5f9e"/>
          <w:sz w:val="26"/>
          <w:szCs w:val="26"/>
        </w:rPr>
        <w:t xml:space="preserve">Referencias</w:t>
      </w:r>
    </w:p>
    <w:p>
      <w:pPr>
        <w:spacing w:after="60" w:before="60"/>
        <w:jc w:val="both"/>
      </w:pPr>
      <w:r>
        <w:rPr>
          <w:rFonts w:ascii="Arial" w:cs="Arial" w:eastAsia="Arial" w:hAnsi="Arial"/>
          <w:color w:val="2D2D2D"/>
          <w:sz w:val="20"/>
          <w:szCs w:val="20"/>
        </w:rPr>
        <w:t xml:space="preserve">SENA. (2023). Competencia 220501046 — Construir los requisitos del sistema de información. Bogotá: Servicio Nacional de Aprendizaje.</w:t>
      </w:r>
    </w:p>
    <w:p>
      <w:pPr>
        <w:spacing w:after="60" w:before="60"/>
        <w:jc w:val="both"/>
      </w:pPr>
      <w:r>
        <w:rPr>
          <w:rFonts w:ascii="Arial" w:cs="Arial" w:eastAsia="Arial" w:hAnsi="Arial"/>
          <w:color w:val="2D2D2D"/>
          <w:sz w:val="20"/>
          <w:szCs w:val="20"/>
        </w:rPr>
        <w:t xml:space="preserve">Sommerville, I. (2016). Ingeniería de Software (10.ª ed.). Pearson Educación.</w:t>
      </w:r>
    </w:p>
    <w:p>
      <w:pPr>
        <w:spacing w:after="60" w:before="60"/>
        <w:jc w:val="both"/>
      </w:pPr>
      <w:r>
        <w:rPr>
          <w:rFonts w:ascii="Arial" w:cs="Arial" w:eastAsia="Arial" w:hAnsi="Arial"/>
          <w:color w:val="2D2D2D"/>
          <w:sz w:val="20"/>
          <w:szCs w:val="20"/>
        </w:rPr>
        <w:t xml:space="preserve">IEEE. (1998). IEEE Std 830-1998 — IEEE Recommended Practice for Software Requirements Specifications. IEEE Computer Society.</w:t>
      </w:r>
    </w:p>
    <w:p>
      <w:pPr>
        <w:spacing w:after="60" w:before="60"/>
        <w:jc w:val="both"/>
      </w:pPr>
      <w:r>
        <w:rPr>
          <w:rFonts w:ascii="Arial" w:cs="Arial" w:eastAsia="Arial" w:hAnsi="Arial"/>
          <w:color w:val="2D2D2D"/>
          <w:sz w:val="20"/>
          <w:szCs w:val="20"/>
        </w:rPr>
        <w:t xml:space="preserve">Wiegers, K. &amp; Beatty, J. (2013). Software Requirements (3.ª ed.). Microsoft Press.</w:t>
      </w:r>
    </w:p>
    <w:p>
      <w:pPr>
        <w:spacing w:after="60" w:before="60"/>
        <w:jc w:val="both"/>
      </w:pPr>
      <w:r>
        <w:rPr>
          <w:rFonts w:ascii="Arial" w:cs="Arial" w:eastAsia="Arial" w:hAnsi="Arial"/>
          <w:color w:val="2D2D2D"/>
          <w:sz w:val="20"/>
          <w:szCs w:val="20"/>
        </w:rPr>
        <w:t xml:space="preserve">ICONTEC. (2013). NTC-ISO/IEC 25010 — Calidad del producto de software. Bogotá: ICONTEC.</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pPr>
    <w:r>
      <w:rPr>
        <w:rFonts w:ascii="Arial" w:cs="Arial" w:eastAsia="Arial" w:hAnsi="Arial"/>
        <w:color w:val="5A5A5A"/>
        <w:sz w:val="16"/>
        <w:szCs w:val="16"/>
      </w:rPr>
      <w:t xml:space="preserve">Documento académico con fines de formación  ·  Abril 2026</w:t>
    </w:r>
    <w:r>
      <w:rPr>
        <w:rFonts w:ascii="Arial" w:cs="Arial" w:eastAsia="Arial" w:hAnsi="Arial"/>
        <w:color w:val="5A5A5A"/>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6" w:space="2"/>
      </w:pBdr>
      <w:spacing w:after="80"/>
    </w:pPr>
    <w:r>
      <w:rPr>
        <w:rFonts w:ascii="Arial" w:cs="Arial" w:eastAsia="Arial" w:hAnsi="Arial"/>
        <w:color w:val="5A5A5A"/>
        <w:sz w:val="16"/>
        <w:szCs w:val="16"/>
      </w:rPr>
      <w:t xml:space="preserve">SENA  ·  Análisis y Desarrollo de Software  ·  Competencia 220501046</w:t>
    </w:r>
    <w:r>
      <w:rPr>
        <w:rFonts w:ascii="Arial" w:cs="Arial" w:eastAsia="Arial" w:hAnsi="Arial"/>
        <w:color w:val="003DA5"/>
        <w:sz w:val="16"/>
        <w:szCs w:val="16"/>
      </w:rPr>
      <w:t xml:space="preserve">     |     Supermercado "La Esquina"  —  Módulo 2: Análisis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DA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2026-04-25T12:10:47.292Z</dcterms:created>
  <dcterms:modified xsi:type="dcterms:W3CDTF">2026-04-25T12:10:47.293Z</dcterms:modified>
</cp:coreProperties>
</file>

<file path=docProps/custom.xml><?xml version="1.0" encoding="utf-8"?>
<Properties xmlns="http://schemas.openxmlformats.org/officeDocument/2006/custom-properties" xmlns:vt="http://schemas.openxmlformats.org/officeDocument/2006/docPropsVTypes"/>
</file>