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color w:val="1F3864"/>
        </w:rPr>
        <w:t xml:space="preserve">CORPORACIÓN UNIVERSITARIA MINUTO DE DIOS — UNIMINUTO</w:t>
      </w:r>
    </w:p>
    <w:p>
      <w:pPr>
        <w:spacing w:after="120"/>
      </w:pPr>
      <w:r>
        <w:rPr/>
        <w:t xml:space="preserve"/>
      </w:r>
    </w:p>
    <w:p>
      <w:pPr>
        <w:jc w:val="center"/>
        <w:spacing w:after="240"/>
      </w:pPr>
      <w:r>
        <w:rPr>
          <w:b/>
          <w:sz w:val="30"/>
          <w:color w:val="2E74B5"/>
        </w:rPr>
        <w:t xml:space="preserve">Diseño e implementación de una API con arquitectura de microservicios para una tienda online: aplicación de atributos de calidad en la arquitectura de software</w:t>
      </w:r>
    </w:p>
    <w:p>
      <w:pPr>
        <w:spacing w:after="120"/>
      </w:pPr>
      <w:r>
        <w:rPr/>
        <w:t xml:space="preserve"/>
      </w:r>
    </w:p>
    <w:p>
      <w:pPr>
        <w:jc w:val="center"/>
        <w:spacing w:after="80"/>
      </w:pPr>
      <w:r>
        <w:rPr>
          <w:sz w:val="24"/>
        </w:rPr>
        <w:t xml:space="preserve">Documento técnico — Taller Semana 8</w:t>
      </w:r>
    </w:p>
    <w:p>
      <w:pPr>
        <w:spacing w:after="120"/>
      </w:pPr>
      <w:r>
        <w:rPr/>
        <w:t xml:space="preserve"/>
      </w:r>
    </w:p>
    <w:p>
      <w:pPr>
        <w:jc w:val="center"/>
        <w:spacing w:after="80"/>
      </w:pPr>
      <w:r>
        <w:rPr>
          <w:sz w:val="24"/>
        </w:rPr>
        <w:t xml:space="preserve">Autor: Estibin Rodriguez</w:t>
      </w:r>
    </w:p>
    <w:p>
      <w:pPr>
        <w:jc w:val="center"/>
        <w:spacing w:after="80"/>
      </w:pPr>
      <w:r>
        <w:rPr>
          <w:sz w:val="24"/>
        </w:rPr>
        <w:t xml:space="preserve">Curso: Programación Avanzada</w:t>
      </w:r>
    </w:p>
    <w:p>
      <w:pPr>
        <w:jc w:val="center"/>
        <w:spacing w:after="80"/>
      </w:pPr>
      <w:r>
        <w:rPr>
          <w:sz w:val="24"/>
        </w:rPr>
        <w:t xml:space="preserve">Docente: Docente de Programación Avanzada</w:t>
      </w:r>
    </w:p>
    <w:p>
      <w:pPr>
        <w:jc w:val="center"/>
        <w:spacing w:after="80"/>
      </w:pPr>
      <w:r>
        <w:rPr>
          <w:sz w:val="24"/>
        </w:rPr>
        <w:t xml:space="preserve">Fecha de entrega: 18 de octubre de 2026</w:t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Índice</w:t>
      </w:r>
    </w:p>
    <w:p>
      <w:pPr>
        <w:ind w:left="240"/>
        <w:spacing w:after="40"/>
      </w:pPr>
      <w:r>
        <w:rPr>
          <w:sz w:val="22"/>
        </w:rPr>
        <w:t xml:space="preserve">1. Introducción</w:t>
      </w:r>
    </w:p>
    <w:p>
      <w:pPr>
        <w:ind w:left="240"/>
        <w:spacing w:after="40"/>
      </w:pPr>
      <w:r>
        <w:rPr>
          <w:sz w:val="22"/>
        </w:rPr>
        <w:t xml:space="preserve">   1.1. Problemática</w:t>
      </w:r>
    </w:p>
    <w:p>
      <w:pPr>
        <w:ind w:left="240"/>
        <w:spacing w:after="40"/>
      </w:pPr>
      <w:r>
        <w:rPr>
          <w:sz w:val="22"/>
        </w:rPr>
        <w:t xml:space="preserve">   1.2. Objetivo general</w:t>
      </w:r>
    </w:p>
    <w:p>
      <w:pPr>
        <w:ind w:left="240"/>
        <w:spacing w:after="40"/>
      </w:pPr>
      <w:r>
        <w:rPr>
          <w:sz w:val="22"/>
        </w:rPr>
        <w:t xml:space="preserve">   1.3. Objetivos específicos</w:t>
      </w:r>
    </w:p>
    <w:p>
      <w:pPr>
        <w:ind w:left="240"/>
        <w:spacing w:after="40"/>
      </w:pPr>
      <w:r>
        <w:rPr>
          <w:sz w:val="22"/>
        </w:rPr>
        <w:t xml:space="preserve">2. Planeación</w:t>
      </w:r>
    </w:p>
    <w:p>
      <w:pPr>
        <w:ind w:left="240"/>
        <w:spacing w:after="40"/>
      </w:pPr>
      <w:r>
        <w:rPr>
          <w:sz w:val="22"/>
        </w:rPr>
        <w:t xml:space="preserve">   2.1. Requisitos funcionales</w:t>
      </w:r>
    </w:p>
    <w:p>
      <w:pPr>
        <w:ind w:left="240"/>
        <w:spacing w:after="40"/>
      </w:pPr>
      <w:r>
        <w:rPr>
          <w:sz w:val="22"/>
        </w:rPr>
        <w:t xml:space="preserve">   2.2. Requisitos no funcionales (atributos de calidad)</w:t>
      </w:r>
    </w:p>
    <w:p>
      <w:pPr>
        <w:ind w:left="240"/>
        <w:spacing w:after="40"/>
      </w:pPr>
      <w:r>
        <w:rPr>
          <w:sz w:val="22"/>
        </w:rPr>
        <w:t xml:space="preserve">   2.3. Plan de trabajo y actividades</w:t>
      </w:r>
    </w:p>
    <w:p>
      <w:pPr>
        <w:ind w:left="240"/>
        <w:spacing w:after="40"/>
      </w:pPr>
      <w:r>
        <w:rPr>
          <w:sz w:val="22"/>
        </w:rPr>
        <w:t xml:space="preserve">   2.4. Stack tecnológico</w:t>
      </w:r>
    </w:p>
    <w:p>
      <w:pPr>
        <w:ind w:left="240"/>
        <w:spacing w:after="40"/>
      </w:pPr>
      <w:r>
        <w:rPr>
          <w:sz w:val="22"/>
        </w:rPr>
        <w:t xml:space="preserve">3. Desarrollo</w:t>
      </w:r>
    </w:p>
    <w:p>
      <w:pPr>
        <w:ind w:left="240"/>
        <w:spacing w:after="40"/>
      </w:pPr>
      <w:r>
        <w:rPr>
          <w:sz w:val="22"/>
        </w:rPr>
        <w:t xml:space="preserve">   3.1. Arquitectura de microservicios</w:t>
      </w:r>
    </w:p>
    <w:p>
      <w:pPr>
        <w:ind w:left="240"/>
        <w:spacing w:after="40"/>
      </w:pPr>
      <w:r>
        <w:rPr>
          <w:sz w:val="22"/>
        </w:rPr>
        <w:t xml:space="preserve">   3.2. Servicio de API (API Gateway)</w:t>
      </w:r>
    </w:p>
    <w:p>
      <w:pPr>
        <w:ind w:left="240"/>
        <w:spacing w:after="40"/>
      </w:pPr>
      <w:r>
        <w:rPr>
          <w:sz w:val="22"/>
        </w:rPr>
        <w:t xml:space="preserve">   3.3. Servicio de lógica de negocio</w:t>
      </w:r>
    </w:p>
    <w:p>
      <w:pPr>
        <w:ind w:left="240"/>
        <w:spacing w:after="40"/>
      </w:pPr>
      <w:r>
        <w:rPr>
          <w:sz w:val="22"/>
        </w:rPr>
        <w:t xml:space="preserve">   3.4. Servicio de base de datos</w:t>
      </w:r>
    </w:p>
    <w:p>
      <w:pPr>
        <w:ind w:left="240"/>
        <w:spacing w:after="40"/>
      </w:pPr>
      <w:r>
        <w:rPr>
          <w:sz w:val="22"/>
        </w:rPr>
        <w:t xml:space="preserve">   3.5. Servicio de autenticación</w:t>
      </w:r>
    </w:p>
    <w:p>
      <w:pPr>
        <w:ind w:left="240"/>
        <w:spacing w:after="40"/>
      </w:pPr>
      <w:r>
        <w:rPr>
          <w:sz w:val="22"/>
        </w:rPr>
        <w:t xml:space="preserve">   3.6. Base de datos implementada</w:t>
      </w:r>
    </w:p>
    <w:p>
      <w:pPr>
        <w:ind w:left="240"/>
        <w:spacing w:after="40"/>
      </w:pPr>
      <w:r>
        <w:rPr>
          <w:sz w:val="22"/>
        </w:rPr>
        <w:t xml:space="preserve">   3.7. Contratos de la API (API definitions)</w:t>
      </w:r>
    </w:p>
    <w:p>
      <w:pPr>
        <w:ind w:left="240"/>
        <w:spacing w:after="40"/>
      </w:pPr>
      <w:r>
        <w:rPr>
          <w:sz w:val="22"/>
        </w:rPr>
        <w:t xml:space="preserve">   3.8. Buenas prácticas de implementación</w:t>
      </w:r>
    </w:p>
    <w:p>
      <w:pPr>
        <w:ind w:left="240"/>
        <w:spacing w:after="40"/>
      </w:pPr>
      <w:r>
        <w:rPr>
          <w:sz w:val="22"/>
        </w:rPr>
        <w:t xml:space="preserve">   3.9. Tests automatizados</w:t>
      </w:r>
    </w:p>
    <w:p>
      <w:pPr>
        <w:ind w:left="240"/>
        <w:spacing w:after="40"/>
      </w:pPr>
      <w:r>
        <w:rPr>
          <w:sz w:val="22"/>
        </w:rPr>
        <w:t xml:space="preserve">   3.10. Despliegue en entorno de staging</w:t>
      </w:r>
    </w:p>
    <w:p>
      <w:pPr>
        <w:ind w:left="240"/>
        <w:spacing w:after="40"/>
      </w:pPr>
      <w:r>
        <w:rPr>
          <w:sz w:val="22"/>
        </w:rPr>
        <w:t xml:space="preserve">   3.11. Monitoreo y observabilidad</w:t>
      </w:r>
    </w:p>
    <w:p>
      <w:pPr>
        <w:ind w:left="240"/>
        <w:spacing w:after="40"/>
      </w:pPr>
      <w:r>
        <w:rPr>
          <w:sz w:val="22"/>
        </w:rPr>
        <w:t xml:space="preserve">   3.12. Documentación de la API para desarrolladores</w:t>
      </w:r>
    </w:p>
    <w:p>
      <w:pPr>
        <w:ind w:left="240"/>
        <w:spacing w:after="40"/>
      </w:pPr>
      <w:r>
        <w:rPr>
          <w:sz w:val="22"/>
        </w:rPr>
        <w:t xml:space="preserve">4. Resultados</w:t>
      </w:r>
    </w:p>
    <w:p>
      <w:pPr>
        <w:ind w:left="240"/>
        <w:spacing w:after="40"/>
      </w:pPr>
      <w:r>
        <w:rPr>
          <w:sz w:val="22"/>
        </w:rPr>
        <w:t xml:space="preserve">5. Conclusiones</w:t>
      </w:r>
    </w:p>
    <w:p>
      <w:pPr>
        <w:ind w:left="240"/>
        <w:spacing w:after="40"/>
      </w:pPr>
      <w:r>
        <w:rPr>
          <w:sz w:val="22"/>
        </w:rPr>
        <w:t xml:space="preserve">6. Referencias</w:t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1. Introducción</w:t>
      </w:r>
    </w:p>
    <w:p>
      <w:pPr>
        <w:spacing w:after="120"/>
      </w:pPr>
      <w:r>
        <w:rPr>
          <w:b/>
          <w:sz w:val="26"/>
          <w:color w:val="2E74B5"/>
        </w:rPr>
        <w:t xml:space="preserve">1.1. Problemática</w:t>
      </w:r>
    </w:p>
    <w:p>
      <w:pPr>
        <w:jc w:val="both"/>
        <w:spacing w:after="120"/>
      </w:pPr>
      <w:r>
        <w:rPr>
          <w:sz w:val="22"/>
        </w:rPr>
        <w:t xml:space="preserve">El comercio electrónico exige plataformas capaces de crecer, mantenerse y evolucionar sin comprometer la experiencia del usuario ni la estabilidad del sistema. Las aplicaciones construidas como un único bloque (arquitectura monolítica) suelen volverse difíciles de escalar y mantener: un cambio en un módulo obliga a desplegar toda la aplicación y un fallo puede afectar a todo el sistema.</w:t>
      </w:r>
    </w:p>
    <w:p>
      <w:pPr>
        <w:jc w:val="both"/>
        <w:spacing w:after="120"/>
      </w:pPr>
      <w:r>
        <w:rPr>
          <w:sz w:val="22"/>
        </w:rPr>
        <w:t xml:space="preserve">El problema planteado en este taller consiste en codificar una API que vincule operaciones CRUD a una base de datos usando una arquitectura de microservicios para una tienda online que requiere carrito de compras, catálogo de productos, pasarela de pago, inventario y envíos. La solución debe aplicar de forma explícita los atributos de calidad del software (escalabilidad, mantenibilidad, rendimiento, seguridad, fiabilidad, etc.) en el diseño de la arquitectura.</w:t>
      </w:r>
    </w:p>
    <w:p>
      <w:pPr>
        <w:spacing w:after="120"/>
      </w:pPr>
      <w:r>
        <w:rPr>
          <w:b/>
          <w:sz w:val="26"/>
          <w:color w:val="2E74B5"/>
        </w:rPr>
        <w:t xml:space="preserve">1.2. Objetivo general</w:t>
      </w:r>
    </w:p>
    <w:p>
      <w:pPr>
        <w:jc w:val="both"/>
        <w:spacing w:after="120"/>
      </w:pPr>
      <w:r>
        <w:rPr>
          <w:sz w:val="22"/>
        </w:rPr>
        <w:t xml:space="preserve">Diseñar e implementar un prototipo semifuncional de API basada en microservicios para una tienda online (TechStore), que incorpore operaciones CRUD sobre una base de datos, autenticación, y la orquestación de catálogo, inventario, carrito, pagos y envíos, aplicando buenas prácticas y atributos de calidad de la arquitectura de software.</w:t>
      </w:r>
    </w:p>
    <w:p>
      <w:pPr>
        <w:spacing w:after="120"/>
      </w:pPr>
      <w:r>
        <w:rPr>
          <w:b/>
          <w:sz w:val="26"/>
          <w:color w:val="2E74B5"/>
        </w:rPr>
        <w:t xml:space="preserve">1.3. Objetivos específicos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Definir los requisitos funcionales y no funcionales de la API.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Diseñar una arquitectura de microservicios con separación de responsabilidades.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Implementar los microservicios (API Gateway, autenticación, catálogo/inventario, carrito, pagos y envíos) y la base de datos.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Definir los contratos de la API mediante OpenAPI.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Implementar tests automatizados para la lógica de negocio y los endpoints.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Preparar el despliegue en un entorno de staging con Docker.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Incorporar observabilidad (logs, métricas) y documentación para desarrolladores.</w:t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2. Planeación</w:t>
      </w:r>
    </w:p>
    <w:p>
      <w:pPr>
        <w:spacing w:after="120"/>
      </w:pPr>
      <w:r>
        <w:rPr>
          <w:b/>
          <w:sz w:val="26"/>
          <w:color w:val="2E74B5"/>
        </w:rPr>
        <w:t xml:space="preserve">2.1. Requisitos funcionales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RF-01 Registrar usuarios y autenticarlos (Create/Read).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RF-02 Emitir y validar tokens JWT.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RF-03 Gestionar el catálogo de productos: crear, consultar, actualizar, eliminar (CRUD completo).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RF-04 Controlar el inventario (stock) de los productos (Update - decremento).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RF-05 Gestionar el carrito de compras: agregar, consultar, eliminar ítems (CRUD parcial).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RF-06 Procesar el checkout: reservar stock, cobrar y generar envío (Create).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RF-07 Procesar pagos a través de una pasarela simulada (Create/Read).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RF-08 Generar y consultar envíos con número de rastreo (Create/Read).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RF-09 Restringir operaciones de escritura del catálogo a administradores.</w:t>
      </w:r>
    </w:p>
    <w:p>
      <w:pPr>
        <w:spacing w:after="120"/>
      </w:pPr>
      <w:r>
        <w:rPr>
          <w:b/>
          <w:sz w:val="26"/>
          <w:color w:val="2E74B5"/>
        </w:rPr>
        <w:t xml:space="preserve">2.2. Requisitos no funcionales (atributos de calidad)</w:t>
      </w:r>
    </w:p>
    <w:p>
      <w:pPr>
        <w:jc w:val="both"/>
        <w:spacing w:after="120"/>
      </w:pPr>
      <w:r>
        <w:rPr>
          <w:sz w:val="22"/>
        </w:rPr>
        <w:t xml:space="preserve">La arquitectura se diseñó aplicando los atributos de calidad descritos por Ingeno (2018), que constituyen los requisitos no funcionales del sistema: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Escalabilidad: cada microservicio es independiente y puede escalar horizontalmente por separado.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Mantenibilidad: separación de responsabilidades en capas (routes, controllers/services, repositories) y bajo acoplamiento.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Rendimiento: base de datos con índices, consultas parametrizadas e histograma de latencia por endpoint.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Seguridad: autenticación JWT, hashing bcrypt, autorización por rol, rate limiting y validación de entradas con Zod.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Fiabilidad/disponibilidad: manejo de errores centralizado, health checks y descuento de stock atómico.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Observabilidad: logs estructurados JSON (Winston) y métricas Prometheus (prom-client).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Portabilidad: contenerización con Docker y configuración por variables de entorno.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Testabilidad: lógica de negocio desacoplada de la infraestructura, con tests unitarios y de integración.</w:t>
      </w:r>
    </w:p>
    <w:p>
      <w:pPr>
        <w:spacing w:after="120"/>
      </w:pPr>
      <w:r>
        <w:rPr>
          <w:b/>
          <w:sz w:val="26"/>
          <w:color w:val="2E74B5"/>
        </w:rPr>
        <w:t xml:space="preserve">2.3. Plan de trabajo y actividades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Fase 1. Análisis: definición de requisitos funcionales y no funcionales.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Fase 2. Diseño: arquitectura de microservicios, modelo de datos y contratos de API.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Fase 3. Implementación de la capa de datos: servicio de base de datos compartido (SQLite) con su esquema.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Fase 4. Implementación de los microservicios: autenticación, catálogo/inventario, carrito, pagos y envíos.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Fase 5. Implementación del API Gateway: enrutamiento, seguridad y documentación.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Fase 6. Pruebas: tests unitarios (lógica de negocio) y de integración (endpoints y checkout).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Fase 7. Despliegue y observabilidad: Docker Compose para staging, logs y métricas.</w:t>
      </w:r>
    </w:p>
    <w:p>
      <w:pPr>
        <w:spacing w:after="120"/>
      </w:pPr>
      <w:r>
        <w:rPr>
          <w:b/>
          <w:sz w:val="26"/>
          <w:color w:val="2E74B5"/>
        </w:rPr>
        <w:t xml:space="preserve">2.4. Stack tecnológico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Node.js 22 como runtime; Express como framework HTTP.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SQLite (better-sqlite3) como base de datos, abstraída por el servicio de datos.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JWT + bcrypt para autenticación; Zod para validación.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Winston para logs; prom-client para métricas.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Jest + Supertest para pruebas; OpenAPI 3 + Swagger UI para documentación.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Docker + Docker Compose para el despliegue en staging.</w:t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3. Desarrollo</w:t>
      </w:r>
    </w:p>
    <w:p>
      <w:pPr>
        <w:spacing w:after="120"/>
      </w:pPr>
      <w:r>
        <w:rPr>
          <w:b/>
          <w:sz w:val="26"/>
          <w:color w:val="2E74B5"/>
        </w:rPr>
        <w:t xml:space="preserve">3.1. Arquitectura de microservicios</w:t>
      </w:r>
    </w:p>
    <w:p>
      <w:pPr>
        <w:jc w:val="both"/>
        <w:spacing w:after="120"/>
      </w:pPr>
      <w:r>
        <w:rPr>
          <w:sz w:val="22"/>
        </w:rPr>
        <w:t xml:space="preserve">La solución se compone de un API Gateway (punto único de entrada) y cinco microservicios de dominio, apoyados por una capa de datos compartida que abstrae la base de datos. Cada microservicio es un proceso independiente, con su propio puerto, endpoints /health y /metrics, y comunicación mediante HTTP/JSON. El microservicio de carrito actúa como orquestador del proceso de compra (checkout): coordina la reserva de stock en el catálogo, el cobro en el servicio de pagos y la generación del envío.</w:t>
      </w:r>
    </w:p>
    <w:p>
      <w:pPr>
        <w:spacing w:after="120"/>
      </w:pPr>
      <w:r>
        <w:rPr>
          <w:b/>
          <w:sz w:val="26"/>
          <w:color w:val="2E74B5"/>
        </w:rPr>
        <w:t xml:space="preserve">3.2. Servicio de API (API Gateway)</w:t>
      </w:r>
    </w:p>
    <w:p>
      <w:pPr>
        <w:jc w:val="both"/>
        <w:spacing w:after="120"/>
      </w:pPr>
      <w:r>
        <w:rPr>
          <w:sz w:val="22"/>
        </w:rPr>
        <w:t xml:space="preserve">El gateway es el único punto expuesto al cliente. Responsabilidades: enrutamiento de /api/&lt;servicio&gt; hacia el microservicio correspondiente, rate limiting (300 req/min), documentación interactiva en /docs (Swagger UI a partir del contrato OpenAPI) y health/métricas centralizados. Así, los clientes se desacoplan de la topología interna.</w:t>
      </w:r>
    </w:p>
    <w:p>
      <w:pPr>
        <w:spacing w:after="120"/>
      </w:pPr>
      <w:r>
        <w:rPr>
          <w:b/>
          <w:sz w:val="26"/>
          <w:color w:val="2E74B5"/>
        </w:rPr>
        <w:t xml:space="preserve">3.3. Servicio de lógica de negocio</w:t>
      </w:r>
    </w:p>
    <w:p>
      <w:pPr>
        <w:jc w:val="both"/>
        <w:spacing w:after="120"/>
      </w:pPr>
      <w:r>
        <w:rPr>
          <w:sz w:val="22"/>
        </w:rPr>
        <w:t xml:space="preserve">Cada microservicio implementa su lógica de negocio en una capa service.js separada de las rutas HTTP y del acceso a datos. El servicio de carrito valida la entrada, consulta el catálogo, crea el pedido, procesa el pago y genera el envío, y solo entonces cierra el carrito.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// Orquestación del checkout (services/cart/src/service.js)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await catalogClient.post('/internal/reserve-stock', { items });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const order = repo.createOrder({ userId, cartId, totalCents });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const { data: payment } = await paymentClient.post('/payments', {...});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const { data: shipment } = await shippingClient.post('/shipments', {...});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repo.updateOrderStatus(order.id, 'confirmed');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repo.closeCart(cart.id);</w:t>
      </w:r>
    </w:p>
    <w:p>
      <w:pPr>
        <w:spacing w:after="120"/>
      </w:pPr>
      <w:r>
        <w:rPr/>
        <w:t xml:space="preserve"/>
      </w:r>
    </w:p>
    <w:p>
      <w:pPr>
        <w:spacing w:after="120"/>
      </w:pPr>
      <w:r>
        <w:rPr>
          <w:b/>
          <w:sz w:val="26"/>
          <w:color w:val="2E74B5"/>
        </w:rPr>
        <w:t xml:space="preserve">3.4. Servicio de base de datos</w:t>
      </w:r>
    </w:p>
    <w:p>
      <w:pPr>
        <w:jc w:val="both"/>
        <w:spacing w:after="120"/>
      </w:pPr>
      <w:r>
        <w:rPr>
          <w:sz w:val="22"/>
        </w:rPr>
        <w:t xml:space="preserve">shared/db.js centraliza la conexión a SQLite, define el esquema (migraciones) y expone la instancia a los repositorios. La lógica de negocio no conoce los detalles del motor de datos (abstracción). Se habilitan foreign_keys y el modo WAL para concurrencia.</w:t>
      </w:r>
    </w:p>
    <w:p>
      <w:pPr>
        <w:spacing w:after="120"/>
      </w:pPr>
      <w:r>
        <w:rPr>
          <w:b/>
          <w:sz w:val="26"/>
          <w:color w:val="2E74B5"/>
        </w:rPr>
        <w:t xml:space="preserve">3.5. Servicio de autenticación</w:t>
      </w:r>
    </w:p>
    <w:p>
      <w:pPr>
        <w:jc w:val="both"/>
        <w:spacing w:after="120"/>
      </w:pPr>
      <w:r>
        <w:rPr>
          <w:sz w:val="22"/>
        </w:rPr>
        <w:t xml:space="preserve">Gestiona el registro de usuarios (con hash bcrypt de la contraseña) y el login, que emite un JWT firmado con id, correo y rol. El token se valida en los demás servicios mediante el middleware compartido, que soporta autorización por rol (requireRole('admin')).</w:t>
      </w:r>
    </w:p>
    <w:p>
      <w:pPr>
        <w:spacing w:after="120"/>
      </w:pPr>
      <w:r>
        <w:rPr>
          <w:b/>
          <w:sz w:val="26"/>
          <w:color w:val="2E74B5"/>
        </w:rPr>
        <w:t xml:space="preserve">3.6. Base de datos implementada</w:t>
      </w:r>
    </w:p>
    <w:p>
      <w:pPr>
        <w:jc w:val="both"/>
        <w:spacing w:after="120"/>
      </w:pPr>
      <w:r>
        <w:rPr>
          <w:sz w:val="22"/>
        </w:rPr>
        <w:t xml:space="preserve">El modelo relacional incluye las tablas users, products, carts, cart_items, orders, payments y shipments. Un usuario tiene uno o varios carritos; un carrito contiene varios ítems referidos a productos; al confirmar la compra se crea una orden asociada a un pago y un envío. Se usan restricciones CHECK, UNIQUE y FOREIGN KEY para garantizar integridad.</w:t>
      </w:r>
    </w:p>
    <w:p>
      <w:pPr>
        <w:spacing w:after="120"/>
      </w:pPr>
      <w:r>
        <w:rPr>
          <w:b/>
          <w:sz w:val="26"/>
          <w:color w:val="2E74B5"/>
        </w:rPr>
        <w:t xml:space="preserve">3.7. Contratos de la API (API definitions)</w:t>
      </w:r>
    </w:p>
    <w:p>
      <w:pPr>
        <w:jc w:val="both"/>
        <w:spacing w:after="120"/>
      </w:pPr>
      <w:r>
        <w:rPr>
          <w:sz w:val="22"/>
        </w:rPr>
        <w:t xml:space="preserve">El contrato se define en openapi/techstore.yaml (OpenAPI 3.0): endpoints, esquemas de datos, códigos de respuesta y el esquema de seguridad bearerAuth (JWT). Se publica de forma interactiva en /docs.</w:t>
      </w:r>
    </w:p>
    <w:p>
      <w:pPr>
        <w:spacing w:after="120"/>
      </w:pPr>
      <w:r>
        <w:rPr>
          <w:b/>
          <w:sz w:val="26"/>
          <w:color w:val="2E74B5"/>
        </w:rPr>
        <w:t xml:space="preserve">3.8. Buenas prácticas de implementación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Uso de frameworks: Express, Zod, Jest.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Separación de responsabilidades: routes, service, repository y capa compartida (shared/).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Gestión de dependencias con package.json y configuración por variables de entorno.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Logs estructurados en JSON con nivel configurable.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Manejo de errores centralizado que normaliza respuestas y no filtra detalles internos.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Seguridad: hashing de contraseñas, JWT, autorización por rol, rate limiting y validación.</w:t>
      </w:r>
    </w:p>
    <w:p>
      <w:pPr>
        <w:spacing w:after="120"/>
      </w:pPr>
      <w:r>
        <w:rPr>
          <w:b/>
          <w:sz w:val="26"/>
          <w:color w:val="2E74B5"/>
        </w:rPr>
        <w:t xml:space="preserve">3.9. Tests automatizados</w:t>
      </w:r>
    </w:p>
    <w:p>
      <w:pPr>
        <w:jc w:val="both"/>
        <w:spacing w:after="120"/>
      </w:pPr>
      <w:r>
        <w:rPr>
          <w:sz w:val="22"/>
        </w:rPr>
        <w:t xml:space="preserve">Se implementaron tests con Jest y Supertest cubriendo la lógica de negocio y los endpoints de la API: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auth.service.test.js (unitario): registro, login, emisión de JWT y validaciones.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catalog.service.test.js (unitario): CRUD de productos, control de stock, borrado lógico.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payment.service.test.js (unitario): aprobación/rechazo de pagos y validación.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api.endpoints.test.js (integración HTTP): endpoints de auth y catálogo, autorización, CRUD.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cart.checkout.test.js (integración): orquestación del checkout con mocks.</w:t>
      </w:r>
    </w:p>
    <w:p>
      <w:pPr>
        <w:jc w:val="both"/>
        <w:spacing w:after="120"/>
      </w:pPr>
      <w:r>
        <w:rPr>
          <w:sz w:val="22"/>
        </w:rPr>
        <w:t xml:space="preserve">Los tests usan una base de datos en memoria para aislamiento y rapidez; se ejecutan con npm test. Nota de reproducibilidad: en el entorno de desarrollo el acceso al registro de paquetes estaba restringido, por lo que las dependencias deben instalarse con npm install en una máquina con acceso a internet antes de ejecutar los tests. La sintaxis de todos los módulos y pruebas fue verificada con node --check.</w:t>
      </w:r>
    </w:p>
    <w:p>
      <w:pPr>
        <w:spacing w:after="120"/>
      </w:pPr>
      <w:r>
        <w:rPr>
          <w:b/>
          <w:sz w:val="26"/>
          <w:color w:val="2E74B5"/>
        </w:rPr>
        <w:t xml:space="preserve">3.10. Despliegue en entorno de staging</w:t>
      </w:r>
    </w:p>
    <w:p>
      <w:pPr>
        <w:jc w:val="both"/>
        <w:spacing w:after="120"/>
      </w:pPr>
      <w:r>
        <w:rPr>
          <w:sz w:val="22"/>
        </w:rPr>
        <w:t xml:space="preserve">docker-compose.yml define el entorno de staging: construye una imagen común y levanta cada microservicio y el gateway como contenedores independientes, compartiendo un volumen para la base de datos. Permite pruebas de integración y rendimiento end-to-end con 'docker compose up --build'. El gateway queda en http://localhost:8080 y la documentación en /docs.</w:t>
      </w:r>
    </w:p>
    <w:p>
      <w:pPr>
        <w:spacing w:after="120"/>
      </w:pPr>
      <w:r>
        <w:rPr>
          <w:b/>
          <w:sz w:val="26"/>
          <w:color w:val="2E74B5"/>
        </w:rPr>
        <w:t xml:space="preserve">3.11. Monitoreo y observabilidad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Logs: cada servicio emite logs JSON con servicio, método, ruta y estado.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Métricas: cada servicio expone /metrics en formato Prometheus con contador de peticiones e histograma de latencia por ruta y estado.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Rastreo de errores: el middleware registra las excepciones no controladas con su stack.</w:t>
      </w:r>
    </w:p>
    <w:p>
      <w:pPr>
        <w:spacing w:after="120"/>
      </w:pPr>
      <w:r>
        <w:rPr>
          <w:b/>
          <w:sz w:val="26"/>
          <w:color w:val="2E74B5"/>
        </w:rPr>
        <w:t xml:space="preserve">3.12. Documentación de la API para desarrolladores</w:t>
      </w:r>
    </w:p>
    <w:p>
      <w:pPr>
        <w:jc w:val="both"/>
        <w:spacing w:after="120"/>
      </w:pPr>
      <w:r>
        <w:rPr>
          <w:sz w:val="22"/>
        </w:rPr>
        <w:t xml:space="preserve">La documentación interactiva (Swagger UI) explica cómo autenticarse (obtener el JWT en /api/auth/login y enviarlo como Authorization: Bearer &lt;token&gt;), e incluye los esquemas de request/response y los posibles errores (401, 403, 404, 402, 409).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# Login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curl -X POST http://localhost:8080/api/auth/login \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  -H 'Content-Type: application/json' \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  -d '{"email":"admin@techstore.com","password":"admin123"}'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 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# Checkout (autenticado)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curl -X POST http://localhost:8080/api/cart/checkout \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  -H 'Authorization: Bearer &lt;TOKEN&gt;' -H 'Content-Type: application/json' \</w:t>
      </w:r>
    </w:p>
    <w:p>
      <w:pPr>
        <w:ind w:left="240"/>
        <w:shd w:val="clear" w:fill="F2F2F2"/>
        <w:spacing w:after="0"/>
      </w:pPr>
      <w:r>
        <w:rPr>
          <w:sz w:val="20"/>
          <w:rFonts w:ascii="Consolas" w:hAnsi="Consolas"/>
        </w:rPr>
        <w:t xml:space="preserve">  -d '{"payment_method":"credit_card","card_number":"4111111111111234","address":"Calle 1 # 2-3"}'</w:t>
      </w:r>
    </w:p>
    <w:p>
      <w:pPr>
        <w:spacing w:after="120"/>
      </w:pPr>
      <w:r>
        <w:rPr/>
        <w:t xml:space="preserve"/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4. Resultados</w:t>
      </w:r>
    </w:p>
    <w:p>
      <w:pPr>
        <w:jc w:val="both"/>
        <w:spacing w:after="120"/>
      </w:pPr>
      <w:r>
        <w:rPr>
          <w:sz w:val="22"/>
        </w:rPr>
        <w:t xml:space="preserve">Se obtuvo un prototipo semifuncional de la API de la tienda online TechStore con las siguientes características logradas: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Arquitectura de microservicios funcional con un API Gateway y cinco servicios de dominio desacoplados.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Operaciones CRUD completas sobre la base de datos para el catálogo, y operaciones de dominio para carrito, pagos y envíos.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Servicio de base de datos que abstrae el acceso a SQLite, consumido por repositorios independientes.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Autenticación y autorización con JWT y control de acceso por rol (administrador vs. cliente).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Flujo de compra completo (checkout) que orquesta inventario, pago y envío, con control de stock atómico para evitar sobreventa.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Contratos OpenAPI publicados de forma interactiva.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Suite de tests automatizados que cubre la lógica de negocio y los endpoints (33 casos en 5 archivos).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Despliegue reproducible en staging con Docker Compose.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Observabilidad mediante logs estructurados y métricas Prometheus.</w:t>
      </w:r>
    </w:p>
    <w:p>
      <w:pPr>
        <w:jc w:val="both"/>
        <w:spacing w:after="120"/>
      </w:pPr>
      <w:r>
        <w:rPr>
          <w:sz w:val="22"/>
        </w:rPr>
        <w:t xml:space="preserve">La solución demuestra cómo los atributos de calidad (escalabilidad, mantenibilidad, seguridad, rendimiento, fiabilidad y observabilidad) se traducen en decisiones concretas de arquitectura.</w:t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5. Conclusiones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La arquitectura de microservicios permite abordar los atributos de calidad de forma explícita: cada servicio puede escalarse, desplegarse y mantenerse de forma independiente.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Tratar los atributos de calidad como requisitos no funcionales medibles (Ingeno, 2018) guía las decisiones de diseño y produce un sistema más robusto, seguro y mantenible.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La separación de responsabilidades y el uso de contratos de API facilitan la evolución del sistema y el trabajo en equipo.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La incorporación temprana de pruebas automatizadas, observabilidad y despliegue contenerizado mejora la fiabilidad y acorta el ciclo de retroalimentación.</w:t>
      </w:r>
    </w:p>
    <w:p>
      <w:pPr>
        <w:ind w:left="360"/>
        <w:spacing w:after="80"/>
      </w:pPr>
      <w:r>
        <w:rPr>
          <w:sz w:val="22"/>
        </w:rPr>
        <w:t xml:space="preserve">•  </w:t>
      </w:r>
      <w:r>
        <w:rPr>
          <w:sz w:val="22"/>
        </w:rPr>
        <w:t xml:space="preserve">El principal beneficio es la capacidad de crecer sin reescribir el sistema: se pueden añadir nuevos servicios sin afectar a los existentes, con menor costo de evolución y mayor disponibilidad.</w:t>
      </w:r>
    </w:p>
    <w:p>
      <w:r>
        <w:br w:type="page"/>
      </w:r>
    </w:p>
    <w:p>
      <w:pPr>
        <w:spacing w:after="160"/>
      </w:pPr>
      <w:r>
        <w:rPr>
          <w:b/>
          <w:sz w:val="30"/>
          <w:color w:val="1F3864"/>
        </w:rPr>
        <w:t xml:space="preserve">6. Referencias</w:t>
      </w:r>
    </w:p>
    <w:p>
      <w:pPr>
        <w:jc w:val="both"/>
        <w:ind w:left="360"/>
        <w:spacing w:after="120"/>
      </w:pPr>
      <w:r>
        <w:rPr>
          <w:sz w:val="22"/>
        </w:rPr>
        <w:t xml:space="preserve">Bell, M. (2017). Service-oriented modeling: Service analysis, design, and architecture (Part six: Service-oriented software architecture, pp. 307-359). John Wiley &amp; Sons, Incorporated.</w:t>
      </w:r>
    </w:p>
    <w:p>
      <w:pPr>
        <w:jc w:val="both"/>
        <w:ind w:left="360"/>
        <w:spacing w:after="120"/>
      </w:pPr>
      <w:r>
        <w:rPr>
          <w:sz w:val="22"/>
        </w:rPr>
        <w:t xml:space="preserve">Fowler, M., &amp; Lewis, J. (2014). Microservices: A definition of this new architectural term. https://martinfowler.com/articles/microservices.html</w:t>
      </w:r>
    </w:p>
    <w:p>
      <w:pPr>
        <w:jc w:val="both"/>
        <w:ind w:left="360"/>
        <w:spacing w:after="120"/>
      </w:pPr>
      <w:r>
        <w:rPr>
          <w:sz w:val="22"/>
        </w:rPr>
        <w:t xml:space="preserve">Ingeno, J. (2018). Software architect's handbook: Become a successful software architect by implementing effective architecture concepts (Chapter 4: Software quality attributes, pp. 76-110). Packt Publishing, Limited.</w:t>
      </w:r>
    </w:p>
    <w:p>
      <w:pPr>
        <w:jc w:val="both"/>
        <w:ind w:left="360"/>
        <w:spacing w:after="120"/>
      </w:pPr>
      <w:r>
        <w:rPr>
          <w:sz w:val="22"/>
        </w:rPr>
        <w:t xml:space="preserve">International Organization for Standardization. (2023). ISO/IEC 25010: Systems and software engineering - SQuaRE - Product quality model.</w:t>
      </w:r>
    </w:p>
    <w:p>
      <w:pPr>
        <w:jc w:val="both"/>
        <w:ind w:left="360"/>
        <w:spacing w:after="120"/>
      </w:pPr>
      <w:r>
        <w:rPr>
          <w:sz w:val="22"/>
        </w:rPr>
        <w:t xml:space="preserve">OpenJS Foundation. (s. f.). Express - Node.js web application framework. https://expressjs.com/</w:t>
      </w:r>
    </w:p>
    <w:p>
      <w:pPr>
        <w:jc w:val="both"/>
        <w:ind w:left="360"/>
        <w:spacing w:after="120"/>
      </w:pPr>
      <w:r>
        <w:rPr>
          <w:sz w:val="22"/>
        </w:rPr>
        <w:t xml:space="preserve">OpenAPI Initiative. (s. f.). OpenAPI Specification v3.0.3. https://spec.openapis.org/oas/v3.0.3</w:t>
      </w:r>
    </w:p>
    <w:sectPr>
      <w:pgSz w:w="12240" w:h="15840"/>
      <w:pgMar w:top="1440" w:bottom="1440" w:left="1440" w:right="1440"/>
    </w:sectPr>
  </w:body>
</w:document>
</file>