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after="600" w:line="276" w:lineRule="auto"/>
      </w:pPr>
    </w:p>
    <w:p>
      <w:pPr>
        <w:jc w:val="center"/>
        <w:spacing w:after="120" w:line="276" w:lineRule="auto"/>
      </w:pPr>
      <w:r>
        <w:rPr>
          <w:b/>
          <w:sz w:val="26"/>
          <w:szCs w:val="26"/>
          <w:color w:val="1F3864"/>
        </w:rPr>
        <w:t xml:space="preserve">CORPORACIÓN UNIVERSITARIA MINUTO DE DIOS – UNIMINUTO</w:t>
      </w:r>
    </w:p>
    <w:p>
      <w:pPr>
        <w:jc w:val="center"/>
        <w:spacing w:after="800" w:line="276" w:lineRule="auto"/>
      </w:pPr>
      <w:r>
        <w:rPr>
          <w:i/>
          <w:sz w:val="20"/>
          <w:szCs w:val="20"/>
          <w:color w:val="595959"/>
        </w:rPr>
        <w:t xml:space="preserve">Educación de calidad al alcance de todos</w:t>
      </w:r>
    </w:p>
    <w:p>
      <w:pPr>
        <w:jc w:val="center"/>
        <w:spacing w:after="200" w:line="276" w:lineRule="auto"/>
      </w:pPr>
      <w:r>
        <w:rPr>
          <w:b/>
          <w:sz w:val="36"/>
          <w:szCs w:val="36"/>
          <w:color w:val="1F3864"/>
        </w:rPr>
        <w:t xml:space="preserve">Documento Técnico de Atributos de Calidad en la Implementación de la API y Microservicios de una Tienda en Línea</w:t>
      </w:r>
    </w:p>
    <w:p>
      <w:pPr>
        <w:jc w:val="center"/>
        <w:spacing w:after="1200" w:line="276" w:lineRule="auto"/>
      </w:pPr>
      <w:r>
        <w:rPr>
          <w:i/>
          <w:sz w:val="24"/>
          <w:szCs w:val="24"/>
          <w:color w:val="595959"/>
        </w:rPr>
        <w:t xml:space="preserve">Validación de requerimientos no funcionales, análisis estático, testing, seguridad y observabilidad</w:t>
      </w:r>
    </w:p>
    <w:p>
      <w:pPr>
        <w:jc w:val="center"/>
        <w:spacing w:after="40" w:line="276" w:lineRule="auto"/>
      </w:pPr>
      <w:r>
        <w:rPr>
          <w:b/>
          <w:sz w:val="24"/>
          <w:szCs w:val="24"/>
        </w:rPr>
        <w:t xml:space="preserve">Presentado por:</w:t>
      </w:r>
    </w:p>
    <w:p>
      <w:pPr>
        <w:jc w:val="center"/>
        <w:spacing w:after="300" w:line="276" w:lineRule="auto"/>
      </w:pPr>
      <w:r>
        <w:rPr>
          <w:sz w:val="24"/>
          <w:szCs w:val="24"/>
        </w:rPr>
        <w:t xml:space="preserve">Estibin Rusvined Rodríguez Romero</w:t>
      </w:r>
    </w:p>
    <w:p>
      <w:pPr>
        <w:jc w:val="center"/>
        <w:spacing w:after="40" w:line="276" w:lineRule="auto"/>
      </w:pPr>
      <w:r>
        <w:rPr>
          <w:sz w:val="24"/>
          <w:szCs w:val="24"/>
        </w:rPr>
        <w:t xml:space="preserve">Curso: Programación Avanzada — NRC 70106</w:t>
      </w:r>
    </w:p>
    <w:p>
      <w:pPr>
        <w:jc w:val="center"/>
        <w:spacing w:after="40" w:line="276" w:lineRule="auto"/>
      </w:pPr>
      <w:r>
        <w:rPr>
          <w:sz w:val="24"/>
          <w:szCs w:val="24"/>
        </w:rPr>
        <w:t xml:space="preserve">Semana: 6</w:t>
      </w:r>
    </w:p>
    <w:p>
      <w:pPr>
        <w:jc w:val="center"/>
        <w:spacing w:after="40" w:line="276" w:lineRule="auto"/>
      </w:pPr>
      <w:r>
        <w:rPr>
          <w:sz w:val="24"/>
          <w:szCs w:val="24"/>
        </w:rPr>
        <w:t xml:space="preserve">Docente: María Johana Carvajalino</w:t>
      </w:r>
    </w:p>
    <w:p>
      <w:pPr>
        <w:jc w:val="center"/>
        <w:spacing w:after="40" w:line="276" w:lineRule="auto"/>
      </w:pPr>
      <w:r>
        <w:rPr>
          <w:sz w:val="24"/>
          <w:szCs w:val="24"/>
        </w:rPr>
        <w:t xml:space="preserve">Fecha de entrega: 7 de octubre de 2026</w:t>
      </w:r>
    </w:p>
    <w:p>
      <w:r>
        <w:br w:type="page"/>
      </w:r>
    </w:p>
    <w:p>
      <w:pPr>
        <w:spacing w:after="160" w:line="276" w:lineRule="auto"/>
      </w:pPr>
      <w:r>
        <w:rPr>
          <w:b/>
          <w:sz w:val="30"/>
          <w:szCs w:val="30"/>
          <w:color w:val="1F3864"/>
        </w:rPr>
        <w:t xml:space="preserve">Contenido</w:t>
      </w:r>
    </w:p>
    <w:p>
      <w:pPr>
        <w:numPr>
          <w:ilvl w:val="0"/>
          <w:numId w:val="1"/>
        </w:numPr>
        <w:ind w:left="360" w:hanging="360"/>
        <w:spacing w:after="60" w:line="276" w:lineRule="auto"/>
      </w:pPr>
      <w:r>
        <w:t xml:space="preserve">Introducción</w:t>
      </w:r>
    </w:p>
    <w:p>
      <w:pPr>
        <w:numPr>
          <w:ilvl w:val="0"/>
          <w:numId w:val="1"/>
        </w:numPr>
        <w:ind w:left="360" w:hanging="360"/>
        <w:spacing w:after="60" w:line="276" w:lineRule="auto"/>
      </w:pPr>
      <w:r>
        <w:t xml:space="preserve">1. Revisión de requerimientos no funcionales</w:t>
      </w:r>
    </w:p>
    <w:p>
      <w:pPr>
        <w:numPr>
          <w:ilvl w:val="0"/>
          <w:numId w:val="1"/>
        </w:numPr>
        <w:ind w:left="360" w:hanging="360"/>
        <w:spacing w:after="60" w:line="276" w:lineRule="auto"/>
      </w:pPr>
      <w:r>
        <w:t xml:space="preserve">2. Métricas de calidad definidas para la API</w:t>
      </w:r>
    </w:p>
    <w:p>
      <w:pPr>
        <w:numPr>
          <w:ilvl w:val="0"/>
          <w:numId w:val="1"/>
        </w:numPr>
        <w:ind w:left="360" w:hanging="360"/>
        <w:spacing w:after="60" w:line="276" w:lineRule="auto"/>
      </w:pPr>
      <w:r>
        <w:t xml:space="preserve">3. Análisis estático de código y estándar de codificación</w:t>
      </w:r>
    </w:p>
    <w:p>
      <w:pPr>
        <w:numPr>
          <w:ilvl w:val="0"/>
          <w:numId w:val="1"/>
        </w:numPr>
        <w:ind w:left="360" w:hanging="360"/>
        <w:spacing w:after="60" w:line="276" w:lineRule="auto"/>
      </w:pPr>
      <w:r>
        <w:t xml:space="preserve">4. Bitácora de bugs, code smells y vulnerabilidades</w:t>
      </w:r>
    </w:p>
    <w:p>
      <w:pPr>
        <w:numPr>
          <w:ilvl w:val="0"/>
          <w:numId w:val="1"/>
        </w:numPr>
        <w:ind w:left="360" w:hanging="360"/>
        <w:spacing w:after="60" w:line="276" w:lineRule="auto"/>
      </w:pPr>
      <w:r>
        <w:t xml:space="preserve">5. Testing y cobertura</w:t>
      </w:r>
    </w:p>
    <w:p>
      <w:pPr>
        <w:numPr>
          <w:ilvl w:val="0"/>
          <w:numId w:val="1"/>
        </w:numPr>
        <w:ind w:left="360" w:hanging="360"/>
        <w:spacing w:after="60" w:line="276" w:lineRule="auto"/>
      </w:pPr>
      <w:r>
        <w:t xml:space="preserve">6. Seguridad y hardening</w:t>
      </w:r>
    </w:p>
    <w:p>
      <w:pPr>
        <w:numPr>
          <w:ilvl w:val="0"/>
          <w:numId w:val="1"/>
        </w:numPr>
        <w:ind w:left="360" w:hanging="360"/>
        <w:spacing w:after="60" w:line="276" w:lineRule="auto"/>
      </w:pPr>
      <w:r>
        <w:t xml:space="preserve">7. Monitorización y observabilidad</w:t>
      </w:r>
    </w:p>
    <w:p>
      <w:pPr>
        <w:numPr>
          <w:ilvl w:val="0"/>
          <w:numId w:val="1"/>
        </w:numPr>
        <w:ind w:left="360" w:hanging="360"/>
        <w:spacing w:after="60" w:line="276" w:lineRule="auto"/>
      </w:pPr>
      <w:r>
        <w:t xml:space="preserve">Conclusiones</w:t>
      </w:r>
    </w:p>
    <w:p>
      <w:pPr>
        <w:numPr>
          <w:ilvl w:val="0"/>
          <w:numId w:val="1"/>
        </w:numPr>
        <w:ind w:left="360" w:hanging="360"/>
        <w:spacing w:after="60" w:line="276" w:lineRule="auto"/>
      </w:pPr>
      <w:r>
        <w:t xml:space="preserve">Referencias (APA 7.ª edición)</w:t>
      </w:r>
    </w:p>
    <w:p>
      <w:r>
        <w:br w:type="page"/>
      </w:r>
    </w:p>
    <w:p>
      <w:pPr>
        <w:spacing w:after="160" w:line="276" w:lineRule="auto"/>
      </w:pPr>
      <w:r>
        <w:rPr>
          <w:b/>
          <w:sz w:val="30"/>
          <w:szCs w:val="30"/>
          <w:color w:val="1F3864"/>
        </w:rPr>
        <w:t xml:space="preserve">Introducción</w:t>
      </w:r>
    </w:p>
    <w:p>
      <w:pPr>
        <w:jc w:val="both"/>
        <w:spacing w:after="120" w:line="276" w:lineRule="auto"/>
      </w:pPr>
      <w:r>
        <w:t xml:space="preserve">El presente documento técnico da continuidad al esquema conceptual elaborado en la Semana 4, correspondiente a la arquitectura de microservicios de una tienda en línea compuesta por los servicios de API Gateway, Usuario, Productos, Órdenes, Inventario, Envíos y Pasarela de Pago, con persistencia poliglota en MySQL (datos relacionales de órdenes, productos y usuarios) y MongoDB (inventario). Mientras que en aquella fase el énfasis estuvo en la capa de dominio y en los contratos RESTful descritos con OpenAPI 3.0, en esta Semana 6 el objetivo es incorporar y validar los atributos de calidad del software sobre esa misma solución, aplicando buenas prácticas de ingeniería.</w:t>
      </w:r>
    </w:p>
    <w:p>
      <w:pPr>
        <w:jc w:val="both"/>
        <w:spacing w:after="120" w:line="276" w:lineRule="auto"/>
      </w:pPr>
      <w:r>
        <w:t xml:space="preserve">La calidad del software, entendida como el grado en el que el sistema satisface sus requisitos y las expectativas de los usuarios, no es un resultado espontáneo sino un atributo que debe planificarse, medirse y verificarse de manera sistemática (Joyanes Aguilar, 2020). En esta línea, Arangurí (2021) sostiene que la verificación de requisitos y el diseño disciplinado de casos de prueba constituyen el eje de una metodología integral de aseguramiento de la calidad, pues permiten trazar cada prueba hasta un requisito y evidenciar su cumplimiento de forma objetiva. Bajo ese marco, el documento define los requerimientos no funcionales y sus umbrales, las métricas de calidad, la estrategia de análisis estático, el plan de pruebas y cobertura, las medidas de seguridad y hardening, y el esquema de monitorización y observabilidad.</w:t>
      </w:r>
    </w:p>
    <w:p>
      <w:pPr>
        <w:spacing w:after="160" w:line="276" w:lineRule="auto"/>
      </w:pPr>
      <w:r>
        <w:rPr>
          <w:b/>
          <w:sz w:val="30"/>
          <w:szCs w:val="30"/>
          <w:color w:val="1F3864"/>
        </w:rPr>
        <w:t xml:space="preserve">1. Revisión de requerimientos no funcionales</w:t>
      </w:r>
    </w:p>
    <w:p>
      <w:pPr>
        <w:jc w:val="both"/>
        <w:spacing w:after="120" w:line="276" w:lineRule="auto"/>
      </w:pPr>
      <w:r>
        <w:t xml:space="preserve">Los requerimientos no funcionales (RNF) describen cómo debe comportarse el sistema más que qué debe hacer: definen las cualidades operativas —rendimiento, fiabilidad, seguridad, escalabilidad y mantenibilidad— que determinan la experiencia real del usuario. En la actividad de Semana 4 se enunciaron de forma general (escalabilidad horizontal, seguridad con JWT y HTTPS/TLS, alta disponibilidad, rendimiento y mantenibilidad). En esta fase se concretan en valores verificables, de modo que puedan convertirse en criterios de prueba medibles, tal como recomienda Arangurí (2021) al vincular cada requisito con su mecanismo de verificación.</w:t>
      </w:r>
    </w:p>
    <w:p>
      <w:pPr>
        <w:spacing w:after="120" w:line="276" w:lineRule="auto"/>
      </w:pPr>
      <w:r>
        <w:rPr>
          <w:b/>
          <w:sz w:val="26"/>
          <w:szCs w:val="26"/>
          <w:color w:val="2E5496"/>
        </w:rPr>
        <w:t xml:space="preserve">1.1 Tiempos de respuesta especificados para la API</w:t>
      </w:r>
    </w:p>
    <w:p>
      <w:pPr>
        <w:jc w:val="both"/>
        <w:spacing w:after="120" w:line="276" w:lineRule="auto"/>
      </w:pPr>
      <w:r>
        <w:t xml:space="preserve">Se definen objetivos de tiempo de respuesta por tipo de operación, medidos en el API Gateway y expresados en percentiles (p95 y p99) para reflejar la experiencia de la mayoría de los usuarios y no solo el promedio:</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Look w:val="04A0"/>
      </w:tblPr>
      <w:tblGrid>
        <w:gridCol w:w="4200"/>
        <w:gridCol w:w="2400"/>
        <w:gridCol w:w="2400"/>
      </w:tblGrid>
      <w:tr>
        <w:tc>
          <w:tcPr>
            <w:tcW w:w="4200" w:type="dxa"/>
            <w:shd w:val="clear" w:color="auto" w:fill="1F3864"/>
            <w:vAlign w:val="center"/>
          </w:tcPr>
          <w:p>
            <w:pPr>
              <w:spacing w:after="20"/>
            </w:pPr>
            <w:r>
              <w:rPr>
                <w:b/>
                <w:color w:val="FFFFFF"/>
                <w:sz w:val="19"/>
              </w:rPr>
              <w:t xml:space="preserve">Operación / Endpoint</w:t>
            </w:r>
          </w:p>
        </w:tc>
        <w:tc>
          <w:tcPr>
            <w:tcW w:w="2400" w:type="dxa"/>
            <w:shd w:val="clear" w:color="auto" w:fill="1F3864"/>
            <w:vAlign w:val="center"/>
          </w:tcPr>
          <w:p>
            <w:pPr>
              <w:spacing w:after="20"/>
            </w:pPr>
            <w:r>
              <w:rPr>
                <w:b/>
                <w:color w:val="FFFFFF"/>
                <w:sz w:val="19"/>
              </w:rPr>
              <w:t xml:space="preserve">Objetivo p95</w:t>
            </w:r>
          </w:p>
        </w:tc>
        <w:tc>
          <w:tcPr>
            <w:tcW w:w="2400" w:type="dxa"/>
            <w:shd w:val="clear" w:color="auto" w:fill="1F3864"/>
            <w:vAlign w:val="center"/>
          </w:tcPr>
          <w:p>
            <w:pPr>
              <w:spacing w:after="20"/>
            </w:pPr>
            <w:r>
              <w:rPr>
                <w:b/>
                <w:color w:val="FFFFFF"/>
                <w:sz w:val="19"/>
              </w:rPr>
              <w:t xml:space="preserve">Objetivo p99</w:t>
            </w:r>
          </w:p>
        </w:tc>
      </w:tr>
      <w:tr>
        <w:tc>
          <w:tcPr>
            <w:tcW w:w="4200" w:type="dxa"/>
            <w:shd w:val="clear" w:color="auto" w:fill="F2F5FB"/>
          </w:tcPr>
          <w:p>
            <w:pPr>
              <w:spacing w:after="20"/>
            </w:pPr>
            <w:r>
              <w:rPr>
                <w:sz w:val="19"/>
              </w:rPr>
              <w:t xml:space="preserve">GET lectura de catálogo (/productos)</w:t>
            </w:r>
          </w:p>
        </w:tc>
        <w:tc>
          <w:tcPr>
            <w:tcW w:w="2400" w:type="dxa"/>
            <w:shd w:val="clear" w:color="auto" w:fill="F2F5FB"/>
          </w:tcPr>
          <w:p>
            <w:pPr>
              <w:spacing w:after="20"/>
            </w:pPr>
            <w:r>
              <w:rPr>
                <w:sz w:val="19"/>
              </w:rPr>
              <w:t xml:space="preserve">≤ 300 ms</w:t>
            </w:r>
          </w:p>
        </w:tc>
        <w:tc>
          <w:tcPr>
            <w:tcW w:w="2400" w:type="dxa"/>
            <w:shd w:val="clear" w:color="auto" w:fill="F2F5FB"/>
          </w:tcPr>
          <w:p>
            <w:pPr>
              <w:spacing w:after="20"/>
            </w:pPr>
            <w:r>
              <w:rPr>
                <w:sz w:val="19"/>
              </w:rPr>
              <w:t xml:space="preserve">≤ 500 ms</w:t>
            </w:r>
          </w:p>
        </w:tc>
      </w:tr>
      <w:tr>
        <w:tc>
          <w:tcPr>
            <w:tcW w:w="4200" w:type="dxa"/>
            <w:shd w:val="clear" w:color="auto" w:fill="FFFFFF"/>
          </w:tcPr>
          <w:p>
            <w:pPr>
              <w:spacing w:after="20"/>
            </w:pPr>
            <w:r>
              <w:rPr>
                <w:sz w:val="19"/>
              </w:rPr>
              <w:t xml:space="preserve">GET detalle de producto (/productos/{id})</w:t>
            </w:r>
          </w:p>
        </w:tc>
        <w:tc>
          <w:tcPr>
            <w:tcW w:w="2400" w:type="dxa"/>
            <w:shd w:val="clear" w:color="auto" w:fill="FFFFFF"/>
          </w:tcPr>
          <w:p>
            <w:pPr>
              <w:spacing w:after="20"/>
            </w:pPr>
            <w:r>
              <w:rPr>
                <w:sz w:val="19"/>
              </w:rPr>
              <w:t xml:space="preserve">≤ 200 ms</w:t>
            </w:r>
          </w:p>
        </w:tc>
        <w:tc>
          <w:tcPr>
            <w:tcW w:w="2400" w:type="dxa"/>
            <w:shd w:val="clear" w:color="auto" w:fill="FFFFFF"/>
          </w:tcPr>
          <w:p>
            <w:pPr>
              <w:spacing w:after="20"/>
            </w:pPr>
            <w:r>
              <w:rPr>
                <w:sz w:val="19"/>
              </w:rPr>
              <w:t xml:space="preserve">≤ 400 ms</w:t>
            </w:r>
          </w:p>
        </w:tc>
      </w:tr>
      <w:tr>
        <w:tc>
          <w:tcPr>
            <w:tcW w:w="4200" w:type="dxa"/>
            <w:shd w:val="clear" w:color="auto" w:fill="F2F5FB"/>
          </w:tcPr>
          <w:p>
            <w:pPr>
              <w:spacing w:after="20"/>
            </w:pPr>
            <w:r>
              <w:rPr>
                <w:sz w:val="19"/>
              </w:rPr>
              <w:t xml:space="preserve">POST agregar al carrito (/carrito)</w:t>
            </w:r>
          </w:p>
        </w:tc>
        <w:tc>
          <w:tcPr>
            <w:tcW w:w="2400" w:type="dxa"/>
            <w:shd w:val="clear" w:color="auto" w:fill="F2F5FB"/>
          </w:tcPr>
          <w:p>
            <w:pPr>
              <w:spacing w:after="20"/>
            </w:pPr>
            <w:r>
              <w:rPr>
                <w:sz w:val="19"/>
              </w:rPr>
              <w:t xml:space="preserve">≤ 400 ms</w:t>
            </w:r>
          </w:p>
        </w:tc>
        <w:tc>
          <w:tcPr>
            <w:tcW w:w="2400" w:type="dxa"/>
            <w:shd w:val="clear" w:color="auto" w:fill="F2F5FB"/>
          </w:tcPr>
          <w:p>
            <w:pPr>
              <w:spacing w:after="20"/>
            </w:pPr>
            <w:r>
              <w:rPr>
                <w:sz w:val="19"/>
              </w:rPr>
              <w:t xml:space="preserve">≤ 700 ms</w:t>
            </w:r>
          </w:p>
        </w:tc>
      </w:tr>
      <w:tr>
        <w:tc>
          <w:tcPr>
            <w:tcW w:w="4200" w:type="dxa"/>
            <w:shd w:val="clear" w:color="auto" w:fill="FFFFFF"/>
          </w:tcPr>
          <w:p>
            <w:pPr>
              <w:spacing w:after="20"/>
            </w:pPr>
            <w:r>
              <w:rPr>
                <w:sz w:val="19"/>
              </w:rPr>
              <w:t xml:space="preserve">POST crear orden (/ordenes)</w:t>
            </w:r>
          </w:p>
        </w:tc>
        <w:tc>
          <w:tcPr>
            <w:tcW w:w="2400" w:type="dxa"/>
            <w:shd w:val="clear" w:color="auto" w:fill="FFFFFF"/>
          </w:tcPr>
          <w:p>
            <w:pPr>
              <w:spacing w:after="20"/>
            </w:pPr>
            <w:r>
              <w:rPr>
                <w:sz w:val="19"/>
              </w:rPr>
              <w:t xml:space="preserve">≤ 600 ms</w:t>
            </w:r>
          </w:p>
        </w:tc>
        <w:tc>
          <w:tcPr>
            <w:tcW w:w="2400" w:type="dxa"/>
            <w:shd w:val="clear" w:color="auto" w:fill="FFFFFF"/>
          </w:tcPr>
          <w:p>
            <w:pPr>
              <w:spacing w:after="20"/>
            </w:pPr>
            <w:r>
              <w:rPr>
                <w:sz w:val="19"/>
              </w:rPr>
              <w:t xml:space="preserve">≤ 900 ms</w:t>
            </w:r>
          </w:p>
        </w:tc>
      </w:tr>
      <w:tr>
        <w:tc>
          <w:tcPr>
            <w:tcW w:w="4200" w:type="dxa"/>
            <w:shd w:val="clear" w:color="auto" w:fill="F2F5FB"/>
          </w:tcPr>
          <w:p>
            <w:pPr>
              <w:spacing w:after="20"/>
            </w:pPr>
            <w:r>
              <w:rPr>
                <w:sz w:val="19"/>
              </w:rPr>
              <w:t xml:space="preserve">POST procesar pago (/pagos)</w:t>
            </w:r>
          </w:p>
        </w:tc>
        <w:tc>
          <w:tcPr>
            <w:tcW w:w="2400" w:type="dxa"/>
            <w:shd w:val="clear" w:color="auto" w:fill="F2F5FB"/>
          </w:tcPr>
          <w:p>
            <w:pPr>
              <w:spacing w:after="20"/>
            </w:pPr>
            <w:r>
              <w:rPr>
                <w:sz w:val="19"/>
              </w:rPr>
              <w:t xml:space="preserve">≤ 1200 ms</w:t>
            </w:r>
          </w:p>
        </w:tc>
        <w:tc>
          <w:tcPr>
            <w:tcW w:w="2400" w:type="dxa"/>
            <w:shd w:val="clear" w:color="auto" w:fill="F2F5FB"/>
          </w:tcPr>
          <w:p>
            <w:pPr>
              <w:spacing w:after="20"/>
            </w:pPr>
            <w:r>
              <w:rPr>
                <w:sz w:val="19"/>
              </w:rPr>
              <w:t xml:space="preserve">≤ 2000 ms</w:t>
            </w:r>
          </w:p>
        </w:tc>
      </w:tr>
    </w:tbl>
    <w:p>
      <w:pPr>
        <w:spacing w:after="120"/>
      </w:pPr>
    </w:p>
    <w:p>
      <w:pPr>
        <w:jc w:val="both"/>
        <w:spacing w:after="120" w:line="276" w:lineRule="auto"/>
      </w:pPr>
      <w:r>
        <w:t xml:space="preserve">Las operaciones de lectura son las más exigentes por su alta frecuencia; las de pago admiten mayor latencia por depender de un proveedor externo. Estos valores son el contrato de rendimiento que se validará en las pruebas de carga.</w:t>
      </w:r>
    </w:p>
    <w:p>
      <w:pPr>
        <w:spacing w:after="120" w:line="276" w:lineRule="auto"/>
      </w:pPr>
      <w:r>
        <w:rPr>
          <w:b/>
          <w:sz w:val="26"/>
          <w:szCs w:val="26"/>
          <w:color w:val="2E5496"/>
        </w:rPr>
        <w:t xml:space="preserve">1.2 Porcentaje máximo de errores permitido</w:t>
      </w:r>
    </w:p>
    <w:p>
      <w:pPr>
        <w:jc w:val="both"/>
        <w:spacing w:after="120" w:line="276" w:lineRule="auto"/>
      </w:pPr>
      <w:r>
        <w:t xml:space="preserve">Se establece una tasa de error (error rate) máxima tolerada, calculada como la proporción de respuestas HTTP 5xx sobre el total de solicitudes en una ventana de tiempo:</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Look w:val="04A0"/>
      </w:tblPr>
      <w:tblGrid>
        <w:gridCol w:w="3600"/>
        <w:gridCol w:w="2700"/>
        <w:gridCol w:w="2700"/>
      </w:tblGrid>
      <w:tr>
        <w:tc>
          <w:tcPr>
            <w:tcW w:w="3600" w:type="dxa"/>
            <w:shd w:val="clear" w:color="auto" w:fill="1F3864"/>
            <w:vAlign w:val="center"/>
          </w:tcPr>
          <w:p>
            <w:pPr>
              <w:spacing w:after="20"/>
            </w:pPr>
            <w:r>
              <w:rPr>
                <w:b/>
                <w:color w:val="FFFFFF"/>
                <w:sz w:val="19"/>
              </w:rPr>
              <w:t xml:space="preserve">Indicador</w:t>
            </w:r>
          </w:p>
        </w:tc>
        <w:tc>
          <w:tcPr>
            <w:tcW w:w="2700" w:type="dxa"/>
            <w:shd w:val="clear" w:color="auto" w:fill="1F3864"/>
            <w:vAlign w:val="center"/>
          </w:tcPr>
          <w:p>
            <w:pPr>
              <w:spacing w:after="20"/>
            </w:pPr>
            <w:r>
              <w:rPr>
                <w:b/>
                <w:color w:val="FFFFFF"/>
                <w:sz w:val="19"/>
              </w:rPr>
              <w:t xml:space="preserve">Umbral</w:t>
            </w:r>
          </w:p>
        </w:tc>
        <w:tc>
          <w:tcPr>
            <w:tcW w:w="2700" w:type="dxa"/>
            <w:shd w:val="clear" w:color="auto" w:fill="1F3864"/>
            <w:vAlign w:val="center"/>
          </w:tcPr>
          <w:p>
            <w:pPr>
              <w:spacing w:after="20"/>
            </w:pPr>
            <w:r>
              <w:rPr>
                <w:b/>
                <w:color w:val="FFFFFF"/>
                <w:sz w:val="19"/>
              </w:rPr>
              <w:t xml:space="preserve">Ventana de evaluación</w:t>
            </w:r>
          </w:p>
        </w:tc>
      </w:tr>
      <w:tr>
        <w:tc>
          <w:tcPr>
            <w:tcW w:w="3600" w:type="dxa"/>
            <w:shd w:val="clear" w:color="auto" w:fill="F2F5FB"/>
          </w:tcPr>
          <w:p>
            <w:pPr>
              <w:spacing w:after="20"/>
            </w:pPr>
            <w:r>
              <w:rPr>
                <w:sz w:val="19"/>
              </w:rPr>
              <w:t xml:space="preserve">Errores de servidor (5xx)</w:t>
            </w:r>
          </w:p>
        </w:tc>
        <w:tc>
          <w:tcPr>
            <w:tcW w:w="2700" w:type="dxa"/>
            <w:shd w:val="clear" w:color="auto" w:fill="F2F5FB"/>
          </w:tcPr>
          <w:p>
            <w:pPr>
              <w:spacing w:after="20"/>
            </w:pPr>
            <w:r>
              <w:rPr>
                <w:sz w:val="19"/>
              </w:rPr>
              <w:t xml:space="preserve">≤ 0,1 % (SLO 99,9 %)</w:t>
            </w:r>
          </w:p>
        </w:tc>
        <w:tc>
          <w:tcPr>
            <w:tcW w:w="2700" w:type="dxa"/>
            <w:shd w:val="clear" w:color="auto" w:fill="F2F5FB"/>
          </w:tcPr>
          <w:p>
            <w:pPr>
              <w:spacing w:after="20"/>
            </w:pPr>
            <w:r>
              <w:rPr>
                <w:sz w:val="19"/>
              </w:rPr>
              <w:t xml:space="preserve">Mensual (30 días)</w:t>
            </w:r>
          </w:p>
        </w:tc>
      </w:tr>
      <w:tr>
        <w:tc>
          <w:tcPr>
            <w:tcW w:w="3600" w:type="dxa"/>
            <w:shd w:val="clear" w:color="auto" w:fill="FFFFFF"/>
          </w:tcPr>
          <w:p>
            <w:pPr>
              <w:spacing w:after="20"/>
            </w:pPr>
            <w:r>
              <w:rPr>
                <w:sz w:val="19"/>
              </w:rPr>
              <w:t xml:space="preserve">Errores en pago (/pagos)</w:t>
            </w:r>
          </w:p>
        </w:tc>
        <w:tc>
          <w:tcPr>
            <w:tcW w:w="2700" w:type="dxa"/>
            <w:shd w:val="clear" w:color="auto" w:fill="FFFFFF"/>
          </w:tcPr>
          <w:p>
            <w:pPr>
              <w:spacing w:after="20"/>
            </w:pPr>
            <w:r>
              <w:rPr>
                <w:sz w:val="19"/>
              </w:rPr>
              <w:t xml:space="preserve">≤ 0,5 %</w:t>
            </w:r>
          </w:p>
        </w:tc>
        <w:tc>
          <w:tcPr>
            <w:tcW w:w="2700" w:type="dxa"/>
            <w:shd w:val="clear" w:color="auto" w:fill="FFFFFF"/>
          </w:tcPr>
          <w:p>
            <w:pPr>
              <w:spacing w:after="20"/>
            </w:pPr>
            <w:r>
              <w:rPr>
                <w:sz w:val="19"/>
              </w:rPr>
              <w:t xml:space="preserve">Mensual</w:t>
            </w:r>
          </w:p>
        </w:tc>
      </w:tr>
      <w:tr>
        <w:tc>
          <w:tcPr>
            <w:tcW w:w="3600" w:type="dxa"/>
            <w:shd w:val="clear" w:color="auto" w:fill="F2F5FB"/>
          </w:tcPr>
          <w:p>
            <w:pPr>
              <w:spacing w:after="20"/>
            </w:pPr>
            <w:r>
              <w:rPr>
                <w:sz w:val="19"/>
              </w:rPr>
              <w:t xml:space="preserve">Timeouts entre microservicios</w:t>
            </w:r>
          </w:p>
        </w:tc>
        <w:tc>
          <w:tcPr>
            <w:tcW w:w="2700" w:type="dxa"/>
            <w:shd w:val="clear" w:color="auto" w:fill="F2F5FB"/>
          </w:tcPr>
          <w:p>
            <w:pPr>
              <w:spacing w:after="20"/>
            </w:pPr>
            <w:r>
              <w:rPr>
                <w:sz w:val="19"/>
              </w:rPr>
              <w:t xml:space="preserve">≤ 0,2 %</w:t>
            </w:r>
          </w:p>
        </w:tc>
        <w:tc>
          <w:tcPr>
            <w:tcW w:w="2700" w:type="dxa"/>
            <w:shd w:val="clear" w:color="auto" w:fill="F2F5FB"/>
          </w:tcPr>
          <w:p>
            <w:pPr>
              <w:spacing w:after="20"/>
            </w:pPr>
            <w:r>
              <w:rPr>
                <w:sz w:val="19"/>
              </w:rPr>
              <w:t xml:space="preserve">Semanal</w:t>
            </w:r>
          </w:p>
        </w:tc>
      </w:tr>
    </w:tbl>
    <w:p>
      <w:pPr>
        <w:spacing w:after="120"/>
      </w:pPr>
    </w:p>
    <w:p>
      <w:pPr>
        <w:jc w:val="both"/>
        <w:spacing w:after="120" w:line="276" w:lineRule="auto"/>
      </w:pPr>
      <w:r>
        <w:t xml:space="preserve">Superar estos umbrales activa alertas y, en el caso del servicio de pago, la apertura de un circuit breaker para evitar la propagación de fallos (Richardson, 2018).</w:t>
      </w:r>
    </w:p>
    <w:p>
      <w:pPr>
        <w:spacing w:after="120" w:line="276" w:lineRule="auto"/>
      </w:pPr>
      <w:r>
        <w:rPr>
          <w:b/>
          <w:sz w:val="26"/>
          <w:szCs w:val="26"/>
          <w:color w:val="2E5496"/>
        </w:rPr>
        <w:t xml:space="preserve">1.3 Umbrales de latencia</w:t>
      </w:r>
    </w:p>
    <w:p>
      <w:pPr>
        <w:jc w:val="both"/>
        <w:spacing w:after="120" w:line="276" w:lineRule="auto"/>
      </w:pPr>
      <w:r>
        <w:t xml:space="preserve">Además del tiempo de respuesta extremo a extremo, se vigila la latencia interna entre microservicios y hacia las bases de datos, pues un cuello de botella en una dependencia degrada toda la cadena:</w:t>
      </w:r>
    </w:p>
    <w:p>
      <w:pPr>
        <w:numPr>
          <w:ilvl w:val="0"/>
          <w:numId w:val="1"/>
        </w:numPr>
        <w:ind w:left="360" w:hanging="360"/>
        <w:spacing w:after="60" w:line="276" w:lineRule="auto"/>
      </w:pPr>
      <w:r>
        <w:t xml:space="preserve">Latencia de consultas a MySQL: p95 ≤ 80 ms (apoyada en índices sobre las columnas de búsqueda frecuentes).</w:t>
      </w:r>
    </w:p>
    <w:p>
      <w:pPr>
        <w:numPr>
          <w:ilvl w:val="0"/>
          <w:numId w:val="1"/>
        </w:numPr>
        <w:ind w:left="360" w:hanging="360"/>
        <w:spacing w:after="60" w:line="276" w:lineRule="auto"/>
      </w:pPr>
      <w:r>
        <w:t xml:space="preserve">Latencia de consultas a MongoDB (inventario): p95 ≤ 60 ms.</w:t>
      </w:r>
    </w:p>
    <w:p>
      <w:pPr>
        <w:numPr>
          <w:ilvl w:val="0"/>
          <w:numId w:val="1"/>
        </w:numPr>
        <w:ind w:left="360" w:hanging="360"/>
        <w:spacing w:after="60" w:line="276" w:lineRule="auto"/>
      </w:pPr>
      <w:r>
        <w:t xml:space="preserve">Latencia de comunicación interna (Gateway ↔ microservicio): p95 ≤ 50 ms.</w:t>
      </w:r>
    </w:p>
    <w:p>
      <w:pPr>
        <w:numPr>
          <w:ilvl w:val="0"/>
          <w:numId w:val="1"/>
        </w:numPr>
        <w:ind w:left="360" w:hanging="360"/>
        <w:spacing w:after="60" w:line="276" w:lineRule="auto"/>
      </w:pPr>
      <w:r>
        <w:t xml:space="preserve">Latencia de la cola de mensajería para eventos de dominio: p95 ≤ 100 ms.</w:t>
      </w:r>
    </w:p>
    <w:p>
      <w:pPr>
        <w:jc w:val="both"/>
        <w:spacing w:after="120" w:line="276" w:lineRule="auto"/>
      </w:pPr>
      <w:r>
        <w:t xml:space="preserve">Cuando la latencia supera el umbral durante más de cinco minutos se genera una alerta temprana (ver sección 7).</w:t>
      </w:r>
    </w:p>
    <w:p>
      <w:pPr>
        <w:spacing w:after="120" w:line="276" w:lineRule="auto"/>
      </w:pPr>
      <w:r>
        <w:rPr>
          <w:b/>
          <w:sz w:val="26"/>
          <w:szCs w:val="26"/>
          <w:color w:val="2E5496"/>
        </w:rPr>
        <w:t xml:space="preserve">1.4 Resumen de atributos de calidad no funcionales</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Look w:val="04A0"/>
      </w:tblPr>
      <w:tblGrid>
        <w:gridCol w:w="3000"/>
        <w:gridCol w:w="6000"/>
      </w:tblGrid>
      <w:tr>
        <w:tc>
          <w:tcPr>
            <w:tcW w:w="3000" w:type="dxa"/>
            <w:shd w:val="clear" w:color="auto" w:fill="1F3864"/>
            <w:vAlign w:val="center"/>
          </w:tcPr>
          <w:p>
            <w:pPr>
              <w:spacing w:after="20"/>
            </w:pPr>
            <w:r>
              <w:rPr>
                <w:b/>
                <w:color w:val="FFFFFF"/>
                <w:sz w:val="19"/>
              </w:rPr>
              <w:t xml:space="preserve">Atributo</w:t>
            </w:r>
          </w:p>
        </w:tc>
        <w:tc>
          <w:tcPr>
            <w:tcW w:w="6000" w:type="dxa"/>
            <w:shd w:val="clear" w:color="auto" w:fill="1F3864"/>
            <w:vAlign w:val="center"/>
          </w:tcPr>
          <w:p>
            <w:pPr>
              <w:spacing w:after="20"/>
            </w:pPr>
            <w:r>
              <w:rPr>
                <w:b/>
                <w:color w:val="FFFFFF"/>
                <w:sz w:val="19"/>
              </w:rPr>
              <w:t xml:space="preserve">Meta cuantificada</w:t>
            </w:r>
          </w:p>
        </w:tc>
      </w:tr>
      <w:tr>
        <w:tc>
          <w:tcPr>
            <w:tcW w:w="3000" w:type="dxa"/>
            <w:shd w:val="clear" w:color="auto" w:fill="F2F5FB"/>
          </w:tcPr>
          <w:p>
            <w:pPr>
              <w:spacing w:after="20"/>
            </w:pPr>
            <w:r>
              <w:rPr>
                <w:sz w:val="19"/>
              </w:rPr>
              <w:t xml:space="preserve">Disponibilidad</w:t>
            </w:r>
          </w:p>
        </w:tc>
        <w:tc>
          <w:tcPr>
            <w:tcW w:w="6000" w:type="dxa"/>
            <w:shd w:val="clear" w:color="auto" w:fill="F2F5FB"/>
          </w:tcPr>
          <w:p>
            <w:pPr>
              <w:spacing w:after="20"/>
            </w:pPr>
            <w:r>
              <w:rPr>
                <w:sz w:val="19"/>
              </w:rPr>
              <w:t xml:space="preserve">99,9 % mensual (≈ 43 min de inactividad máx.)</w:t>
            </w:r>
          </w:p>
        </w:tc>
      </w:tr>
      <w:tr>
        <w:tc>
          <w:tcPr>
            <w:tcW w:w="3000" w:type="dxa"/>
            <w:shd w:val="clear" w:color="auto" w:fill="FFFFFF"/>
          </w:tcPr>
          <w:p>
            <w:pPr>
              <w:spacing w:after="20"/>
            </w:pPr>
            <w:r>
              <w:rPr>
                <w:sz w:val="19"/>
              </w:rPr>
              <w:t xml:space="preserve">Escalabilidad</w:t>
            </w:r>
          </w:p>
        </w:tc>
        <w:tc>
          <w:tcPr>
            <w:tcW w:w="6000" w:type="dxa"/>
            <w:shd w:val="clear" w:color="auto" w:fill="FFFFFF"/>
          </w:tcPr>
          <w:p>
            <w:pPr>
              <w:spacing w:after="20"/>
            </w:pPr>
            <w:r>
              <w:rPr>
                <w:sz w:val="19"/>
              </w:rPr>
              <w:t xml:space="preserve">Autoescalado horizontal por microservicio según CPU &gt; 70 %</w:t>
            </w:r>
          </w:p>
        </w:tc>
      </w:tr>
      <w:tr>
        <w:tc>
          <w:tcPr>
            <w:tcW w:w="3000" w:type="dxa"/>
            <w:shd w:val="clear" w:color="auto" w:fill="F2F5FB"/>
          </w:tcPr>
          <w:p>
            <w:pPr>
              <w:spacing w:after="20"/>
            </w:pPr>
            <w:r>
              <w:rPr>
                <w:sz w:val="19"/>
              </w:rPr>
              <w:t xml:space="preserve">Rendimiento</w:t>
            </w:r>
          </w:p>
        </w:tc>
        <w:tc>
          <w:tcPr>
            <w:tcW w:w="6000" w:type="dxa"/>
            <w:shd w:val="clear" w:color="auto" w:fill="F2F5FB"/>
          </w:tcPr>
          <w:p>
            <w:pPr>
              <w:spacing w:after="20"/>
            </w:pPr>
            <w:r>
              <w:rPr>
                <w:sz w:val="19"/>
              </w:rPr>
              <w:t xml:space="preserve">p95 de lectura ≤ 300 ms a 500 solicitudes/segundo</w:t>
            </w:r>
          </w:p>
        </w:tc>
      </w:tr>
      <w:tr>
        <w:tc>
          <w:tcPr>
            <w:tcW w:w="3000" w:type="dxa"/>
            <w:shd w:val="clear" w:color="auto" w:fill="FFFFFF"/>
          </w:tcPr>
          <w:p>
            <w:pPr>
              <w:spacing w:after="20"/>
            </w:pPr>
            <w:r>
              <w:rPr>
                <w:sz w:val="19"/>
              </w:rPr>
              <w:t xml:space="preserve">Seguridad</w:t>
            </w:r>
          </w:p>
        </w:tc>
        <w:tc>
          <w:tcPr>
            <w:tcW w:w="6000" w:type="dxa"/>
            <w:shd w:val="clear" w:color="auto" w:fill="FFFFFF"/>
          </w:tcPr>
          <w:p>
            <w:pPr>
              <w:spacing w:after="20"/>
            </w:pPr>
            <w:r>
              <w:rPr>
                <w:sz w:val="19"/>
              </w:rPr>
              <w:t xml:space="preserve">0 vulnerabilidades críticas/altas en producción</w:t>
            </w:r>
          </w:p>
        </w:tc>
      </w:tr>
      <w:tr>
        <w:tc>
          <w:tcPr>
            <w:tcW w:w="3000" w:type="dxa"/>
            <w:shd w:val="clear" w:color="auto" w:fill="F2F5FB"/>
          </w:tcPr>
          <w:p>
            <w:pPr>
              <w:spacing w:after="20"/>
            </w:pPr>
            <w:r>
              <w:rPr>
                <w:sz w:val="19"/>
              </w:rPr>
              <w:t xml:space="preserve">Mantenibilidad</w:t>
            </w:r>
          </w:p>
        </w:tc>
        <w:tc>
          <w:tcPr>
            <w:tcW w:w="6000" w:type="dxa"/>
            <w:shd w:val="clear" w:color="auto" w:fill="F2F5FB"/>
          </w:tcPr>
          <w:p>
            <w:pPr>
              <w:spacing w:after="20"/>
            </w:pPr>
            <w:r>
              <w:rPr>
                <w:sz w:val="19"/>
              </w:rPr>
              <w:t xml:space="preserve">Deuda técnica &lt; 5 % y cobertura de pruebas ≥ 80 %</w:t>
            </w:r>
          </w:p>
        </w:tc>
      </w:tr>
    </w:tbl>
    <w:p>
      <w:pPr>
        <w:spacing w:after="120"/>
      </w:pPr>
    </w:p>
    <w:p>
      <w:pPr>
        <w:spacing w:after="160" w:line="276" w:lineRule="auto"/>
      </w:pPr>
      <w:r>
        <w:rPr>
          <w:b/>
          <w:sz w:val="30"/>
          <w:szCs w:val="30"/>
          <w:color w:val="1F3864"/>
        </w:rPr>
        <w:t xml:space="preserve">2. Métricas de calidad definidas para la API</w:t>
      </w:r>
    </w:p>
    <w:p>
      <w:pPr>
        <w:jc w:val="both"/>
        <w:spacing w:after="120" w:line="276" w:lineRule="auto"/>
      </w:pPr>
      <w:r>
        <w:t xml:space="preserve">Para gestionar la calidad es necesario medirla con indicadores objetivos. Se adoptan métricas alineadas con el modelo de calidad del producto de la norma ISO/IEC 25010, que organiza la calidad en características como fiabilidad, eficiencia de desempeño, seguridad y mantenibilidad. Estas métricas se recogen de forma continua y constituyen la evidencia cuantitativa del cumplimiento de los requisitos (Arangurí, 2021).</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Look w:val="04A0"/>
      </w:tblPr>
      <w:tblGrid>
        <w:gridCol w:w="2600"/>
        <w:gridCol w:w="4000"/>
        <w:gridCol w:w="2400"/>
      </w:tblGrid>
      <w:tr>
        <w:tc>
          <w:tcPr>
            <w:tcW w:w="2600" w:type="dxa"/>
            <w:shd w:val="clear" w:color="auto" w:fill="1F3864"/>
            <w:vAlign w:val="center"/>
          </w:tcPr>
          <w:p>
            <w:pPr>
              <w:spacing w:after="20"/>
            </w:pPr>
            <w:r>
              <w:rPr>
                <w:b/>
                <w:color w:val="FFFFFF"/>
                <w:sz w:val="19"/>
              </w:rPr>
              <w:t xml:space="preserve">Métrica</w:t>
            </w:r>
          </w:p>
        </w:tc>
        <w:tc>
          <w:tcPr>
            <w:tcW w:w="4000" w:type="dxa"/>
            <w:shd w:val="clear" w:color="auto" w:fill="1F3864"/>
            <w:vAlign w:val="center"/>
          </w:tcPr>
          <w:p>
            <w:pPr>
              <w:spacing w:after="20"/>
            </w:pPr>
            <w:r>
              <w:rPr>
                <w:b/>
                <w:color w:val="FFFFFF"/>
                <w:sz w:val="19"/>
              </w:rPr>
              <w:t xml:space="preserve">Definición</w:t>
            </w:r>
          </w:p>
        </w:tc>
        <w:tc>
          <w:tcPr>
            <w:tcW w:w="2400" w:type="dxa"/>
            <w:shd w:val="clear" w:color="auto" w:fill="1F3864"/>
            <w:vAlign w:val="center"/>
          </w:tcPr>
          <w:p>
            <w:pPr>
              <w:spacing w:after="20"/>
            </w:pPr>
            <w:r>
              <w:rPr>
                <w:b/>
                <w:color w:val="FFFFFF"/>
                <w:sz w:val="19"/>
              </w:rPr>
              <w:t xml:space="preserve">Objetivo</w:t>
            </w:r>
          </w:p>
        </w:tc>
      </w:tr>
      <w:tr>
        <w:tc>
          <w:tcPr>
            <w:tcW w:w="2600" w:type="dxa"/>
            <w:shd w:val="clear" w:color="auto" w:fill="F2F5FB"/>
          </w:tcPr>
          <w:p>
            <w:pPr>
              <w:spacing w:after="20"/>
            </w:pPr>
            <w:r>
              <w:rPr>
                <w:sz w:val="19"/>
              </w:rPr>
              <w:t xml:space="preserve">Throughput</w:t>
            </w:r>
          </w:p>
        </w:tc>
        <w:tc>
          <w:tcPr>
            <w:tcW w:w="4000" w:type="dxa"/>
            <w:shd w:val="clear" w:color="auto" w:fill="F2F5FB"/>
          </w:tcPr>
          <w:p>
            <w:pPr>
              <w:spacing w:after="20"/>
            </w:pPr>
            <w:r>
              <w:rPr>
                <w:sz w:val="19"/>
              </w:rPr>
              <w:t xml:space="preserve">Solicitudes atendidas por segundo</w:t>
            </w:r>
          </w:p>
        </w:tc>
        <w:tc>
          <w:tcPr>
            <w:tcW w:w="2400" w:type="dxa"/>
            <w:shd w:val="clear" w:color="auto" w:fill="F2F5FB"/>
          </w:tcPr>
          <w:p>
            <w:pPr>
              <w:spacing w:after="20"/>
            </w:pPr>
            <w:r>
              <w:rPr>
                <w:sz w:val="19"/>
              </w:rPr>
              <w:t xml:space="preserve">≥ 500 req/s</w:t>
            </w:r>
          </w:p>
        </w:tc>
      </w:tr>
      <w:tr>
        <w:tc>
          <w:tcPr>
            <w:tcW w:w="2600" w:type="dxa"/>
            <w:shd w:val="clear" w:color="auto" w:fill="FFFFFF"/>
          </w:tcPr>
          <w:p>
            <w:pPr>
              <w:spacing w:after="20"/>
            </w:pPr>
            <w:r>
              <w:rPr>
                <w:sz w:val="19"/>
              </w:rPr>
              <w:t xml:space="preserve">Latencia (p95)</w:t>
            </w:r>
          </w:p>
        </w:tc>
        <w:tc>
          <w:tcPr>
            <w:tcW w:w="4000" w:type="dxa"/>
            <w:shd w:val="clear" w:color="auto" w:fill="FFFFFF"/>
          </w:tcPr>
          <w:p>
            <w:pPr>
              <w:spacing w:after="20"/>
            </w:pPr>
            <w:r>
              <w:rPr>
                <w:sz w:val="19"/>
              </w:rPr>
              <w:t xml:space="preserve">Tiempo de respuesta del percentil 95</w:t>
            </w:r>
          </w:p>
        </w:tc>
        <w:tc>
          <w:tcPr>
            <w:tcW w:w="2400" w:type="dxa"/>
            <w:shd w:val="clear" w:color="auto" w:fill="FFFFFF"/>
          </w:tcPr>
          <w:p>
            <w:pPr>
              <w:spacing w:after="20"/>
            </w:pPr>
            <w:r>
              <w:rPr>
                <w:sz w:val="19"/>
              </w:rPr>
              <w:t xml:space="preserve">≤ 300 ms (lectura)</w:t>
            </w:r>
          </w:p>
        </w:tc>
      </w:tr>
      <w:tr>
        <w:tc>
          <w:tcPr>
            <w:tcW w:w="2600" w:type="dxa"/>
            <w:shd w:val="clear" w:color="auto" w:fill="F2F5FB"/>
          </w:tcPr>
          <w:p>
            <w:pPr>
              <w:spacing w:after="20"/>
            </w:pPr>
            <w:r>
              <w:rPr>
                <w:sz w:val="19"/>
              </w:rPr>
              <w:t xml:space="preserve">Error rate</w:t>
            </w:r>
          </w:p>
        </w:tc>
        <w:tc>
          <w:tcPr>
            <w:tcW w:w="4000" w:type="dxa"/>
            <w:shd w:val="clear" w:color="auto" w:fill="F2F5FB"/>
          </w:tcPr>
          <w:p>
            <w:pPr>
              <w:spacing w:after="20"/>
            </w:pPr>
            <w:r>
              <w:rPr>
                <w:sz w:val="19"/>
              </w:rPr>
              <w:t xml:space="preserve">% de respuestas 5xx</w:t>
            </w:r>
          </w:p>
        </w:tc>
        <w:tc>
          <w:tcPr>
            <w:tcW w:w="2400" w:type="dxa"/>
            <w:shd w:val="clear" w:color="auto" w:fill="F2F5FB"/>
          </w:tcPr>
          <w:p>
            <w:pPr>
              <w:spacing w:after="20"/>
            </w:pPr>
            <w:r>
              <w:rPr>
                <w:sz w:val="19"/>
              </w:rPr>
              <w:t xml:space="preserve">≤ 0,1 %</w:t>
            </w:r>
          </w:p>
        </w:tc>
      </w:tr>
      <w:tr>
        <w:tc>
          <w:tcPr>
            <w:tcW w:w="2600" w:type="dxa"/>
            <w:shd w:val="clear" w:color="auto" w:fill="FFFFFF"/>
          </w:tcPr>
          <w:p>
            <w:pPr>
              <w:spacing w:after="20"/>
            </w:pPr>
            <w:r>
              <w:rPr>
                <w:sz w:val="19"/>
              </w:rPr>
              <w:t xml:space="preserve">Disponibilidad</w:t>
            </w:r>
          </w:p>
        </w:tc>
        <w:tc>
          <w:tcPr>
            <w:tcW w:w="4000" w:type="dxa"/>
            <w:shd w:val="clear" w:color="auto" w:fill="FFFFFF"/>
          </w:tcPr>
          <w:p>
            <w:pPr>
              <w:spacing w:after="20"/>
            </w:pPr>
            <w:r>
              <w:rPr>
                <w:sz w:val="19"/>
              </w:rPr>
              <w:t xml:space="preserve">% de tiempo operativo</w:t>
            </w:r>
          </w:p>
        </w:tc>
        <w:tc>
          <w:tcPr>
            <w:tcW w:w="2400" w:type="dxa"/>
            <w:shd w:val="clear" w:color="auto" w:fill="FFFFFF"/>
          </w:tcPr>
          <w:p>
            <w:pPr>
              <w:spacing w:after="20"/>
            </w:pPr>
            <w:r>
              <w:rPr>
                <w:sz w:val="19"/>
              </w:rPr>
              <w:t xml:space="preserve">≥ 99,9 %</w:t>
            </w:r>
          </w:p>
        </w:tc>
      </w:tr>
      <w:tr>
        <w:tc>
          <w:tcPr>
            <w:tcW w:w="2600" w:type="dxa"/>
            <w:shd w:val="clear" w:color="auto" w:fill="F2F5FB"/>
          </w:tcPr>
          <w:p>
            <w:pPr>
              <w:spacing w:after="20"/>
            </w:pPr>
            <w:r>
              <w:rPr>
                <w:sz w:val="19"/>
              </w:rPr>
              <w:t xml:space="preserve">Cobertura de pruebas</w:t>
            </w:r>
          </w:p>
        </w:tc>
        <w:tc>
          <w:tcPr>
            <w:tcW w:w="4000" w:type="dxa"/>
            <w:shd w:val="clear" w:color="auto" w:fill="F2F5FB"/>
          </w:tcPr>
          <w:p>
            <w:pPr>
              <w:spacing w:after="20"/>
            </w:pPr>
            <w:r>
              <w:rPr>
                <w:sz w:val="19"/>
              </w:rPr>
              <w:t xml:space="preserve">% de líneas/ramas cubiertas</w:t>
            </w:r>
          </w:p>
        </w:tc>
        <w:tc>
          <w:tcPr>
            <w:tcW w:w="2400" w:type="dxa"/>
            <w:shd w:val="clear" w:color="auto" w:fill="F2F5FB"/>
          </w:tcPr>
          <w:p>
            <w:pPr>
              <w:spacing w:after="20"/>
            </w:pPr>
            <w:r>
              <w:rPr>
                <w:sz w:val="19"/>
              </w:rPr>
              <w:t xml:space="preserve">≥ 80 %</w:t>
            </w:r>
          </w:p>
        </w:tc>
      </w:tr>
      <w:tr>
        <w:tc>
          <w:tcPr>
            <w:tcW w:w="2600" w:type="dxa"/>
            <w:shd w:val="clear" w:color="auto" w:fill="FFFFFF"/>
          </w:tcPr>
          <w:p>
            <w:pPr>
              <w:spacing w:after="20"/>
            </w:pPr>
            <w:r>
              <w:rPr>
                <w:sz w:val="19"/>
              </w:rPr>
              <w:t xml:space="preserve">Deuda técnica</w:t>
            </w:r>
          </w:p>
        </w:tc>
        <w:tc>
          <w:tcPr>
            <w:tcW w:w="4000" w:type="dxa"/>
            <w:shd w:val="clear" w:color="auto" w:fill="FFFFFF"/>
          </w:tcPr>
          <w:p>
            <w:pPr>
              <w:spacing w:after="20"/>
            </w:pPr>
            <w:r>
              <w:rPr>
                <w:sz w:val="19"/>
              </w:rPr>
              <w:t xml:space="preserve">Esfuerzo de remediación (SonarQube)</w:t>
            </w:r>
          </w:p>
        </w:tc>
        <w:tc>
          <w:tcPr>
            <w:tcW w:w="2400" w:type="dxa"/>
            <w:shd w:val="clear" w:color="auto" w:fill="FFFFFF"/>
          </w:tcPr>
          <w:p>
            <w:pPr>
              <w:spacing w:after="20"/>
            </w:pPr>
            <w:r>
              <w:rPr>
                <w:sz w:val="19"/>
              </w:rPr>
              <w:t xml:space="preserve">Ratio &lt; 5 %</w:t>
            </w:r>
          </w:p>
        </w:tc>
      </w:tr>
      <w:tr>
        <w:tc>
          <w:tcPr>
            <w:tcW w:w="2600" w:type="dxa"/>
            <w:shd w:val="clear" w:color="auto" w:fill="F2F5FB"/>
          </w:tcPr>
          <w:p>
            <w:pPr>
              <w:spacing w:after="20"/>
            </w:pPr>
            <w:r>
              <w:rPr>
                <w:sz w:val="19"/>
              </w:rPr>
              <w:t xml:space="preserve">Densidad de defectos</w:t>
            </w:r>
          </w:p>
        </w:tc>
        <w:tc>
          <w:tcPr>
            <w:tcW w:w="4000" w:type="dxa"/>
            <w:shd w:val="clear" w:color="auto" w:fill="F2F5FB"/>
          </w:tcPr>
          <w:p>
            <w:pPr>
              <w:spacing w:after="20"/>
            </w:pPr>
            <w:r>
              <w:rPr>
                <w:sz w:val="19"/>
              </w:rPr>
              <w:t xml:space="preserve">Bugs por cada 1.000 líneas</w:t>
            </w:r>
          </w:p>
        </w:tc>
        <w:tc>
          <w:tcPr>
            <w:tcW w:w="2400" w:type="dxa"/>
            <w:shd w:val="clear" w:color="auto" w:fill="F2F5FB"/>
          </w:tcPr>
          <w:p>
            <w:pPr>
              <w:spacing w:after="20"/>
            </w:pPr>
            <w:r>
              <w:rPr>
                <w:sz w:val="19"/>
              </w:rPr>
              <w:t xml:space="preserve">&lt; 1,0</w:t>
            </w:r>
          </w:p>
        </w:tc>
      </w:tr>
      <w:tr>
        <w:tc>
          <w:tcPr>
            <w:tcW w:w="2600" w:type="dxa"/>
            <w:shd w:val="clear" w:color="auto" w:fill="FFFFFF"/>
          </w:tcPr>
          <w:p>
            <w:pPr>
              <w:spacing w:after="20"/>
            </w:pPr>
            <w:r>
              <w:rPr>
                <w:sz w:val="19"/>
              </w:rPr>
              <w:t xml:space="preserve">Vulnerabilidades</w:t>
            </w:r>
          </w:p>
        </w:tc>
        <w:tc>
          <w:tcPr>
            <w:tcW w:w="4000" w:type="dxa"/>
            <w:shd w:val="clear" w:color="auto" w:fill="FFFFFF"/>
          </w:tcPr>
          <w:p>
            <w:pPr>
              <w:spacing w:after="20"/>
            </w:pPr>
            <w:r>
              <w:rPr>
                <w:sz w:val="19"/>
              </w:rPr>
              <w:t xml:space="preserve">Hallazgos críticos/altos</w:t>
            </w:r>
          </w:p>
        </w:tc>
        <w:tc>
          <w:tcPr>
            <w:tcW w:w="2400" w:type="dxa"/>
            <w:shd w:val="clear" w:color="auto" w:fill="FFFFFF"/>
          </w:tcPr>
          <w:p>
            <w:pPr>
              <w:spacing w:after="20"/>
            </w:pPr>
            <w:r>
              <w:rPr>
                <w:sz w:val="19"/>
              </w:rPr>
              <w:t xml:space="preserve">0 en producción</w:t>
            </w:r>
          </w:p>
        </w:tc>
      </w:tr>
    </w:tbl>
    <w:p>
      <w:pPr>
        <w:spacing w:after="120"/>
      </w:pPr>
    </w:p>
    <w:p>
      <w:pPr>
        <w:spacing w:after="160" w:line="276" w:lineRule="auto"/>
      </w:pPr>
      <w:r>
        <w:rPr>
          <w:b/>
          <w:sz w:val="30"/>
          <w:szCs w:val="30"/>
          <w:color w:val="1F3864"/>
        </w:rPr>
        <w:t xml:space="preserve">3. Análisis estático de código y estándar de codificación</w:t>
      </w:r>
    </w:p>
    <w:p>
      <w:pPr>
        <w:jc w:val="both"/>
        <w:spacing w:after="120" w:line="276" w:lineRule="auto"/>
      </w:pPr>
      <w:r>
        <w:t xml:space="preserve">El análisis estático examina el código fuente sin ejecutarlo para detectar defectos, malas prácticas y riesgos de seguridad de manera temprana. Joyanes Aguilar (2020) subraya que un código legible, estructurado y conforme a convenciones reduce los errores y facilita el mantenimiento; el análisis estático automatiza esa verificación y la hace repetible.</w:t>
      </w:r>
    </w:p>
    <w:p>
      <w:pPr>
        <w:spacing w:after="120" w:line="276" w:lineRule="auto"/>
      </w:pPr>
      <w:r>
        <w:rPr>
          <w:b/>
          <w:sz w:val="26"/>
          <w:szCs w:val="26"/>
          <w:color w:val="2E5496"/>
        </w:rPr>
        <w:t xml:space="preserve">3.1 Cómo se realiza el análisis estático de código</w:t>
      </w:r>
    </w:p>
    <w:p>
      <w:pPr>
        <w:numPr>
          <w:ilvl w:val="0"/>
          <w:numId w:val="1"/>
        </w:numPr>
        <w:ind w:left="360" w:hanging="360"/>
        <w:spacing w:after="60" w:line="276" w:lineRule="auto"/>
      </w:pPr>
      <w:r>
        <w:rPr>
          <w:b/>
        </w:rPr>
        <w:t xml:space="preserve">Herramienta principal: </w:t>
      </w:r>
      <w:r>
        <w:t xml:space="preserve">SonarQube, integrado en el pipeline de CI/CD, analiza cada microservicio Spring Boot y publica un informe con bugs, code smells, vulnerabilidades, duplicación y cobertura.</w:t>
      </w:r>
    </w:p>
    <w:p>
      <w:pPr>
        <w:numPr>
          <w:ilvl w:val="0"/>
          <w:numId w:val="1"/>
        </w:numPr>
        <w:ind w:left="360" w:hanging="360"/>
        <w:spacing w:after="60" w:line="276" w:lineRule="auto"/>
      </w:pPr>
      <w:r>
        <w:rPr>
          <w:b/>
        </w:rPr>
        <w:t xml:space="preserve">Linters y formateadores: </w:t>
      </w:r>
      <w:r>
        <w:t xml:space="preserve">Checkstyle y SpotBugs (PMD opcional) para Java, ejecutados en cada compilación con Maven/Gradle.</w:t>
      </w:r>
    </w:p>
    <w:p>
      <w:pPr>
        <w:numPr>
          <w:ilvl w:val="0"/>
          <w:numId w:val="1"/>
        </w:numPr>
        <w:ind w:left="360" w:hanging="360"/>
        <w:spacing w:after="60" w:line="276" w:lineRule="auto"/>
      </w:pPr>
      <w:r>
        <w:rPr>
          <w:b/>
        </w:rPr>
        <w:t xml:space="preserve">Quality Gate: </w:t>
      </w:r>
      <w:r>
        <w:t xml:space="preserve">se configura una puerta de calidad que bloquea la fusión (merge) si no se cumplen los umbrales: 0 vulnerabilidades críticas, deuda técnica &lt; 5 % y cobertura ≥ 80 %.</w:t>
      </w:r>
    </w:p>
    <w:p>
      <w:pPr>
        <w:numPr>
          <w:ilvl w:val="0"/>
          <w:numId w:val="1"/>
        </w:numPr>
        <w:ind w:left="360" w:hanging="360"/>
        <w:spacing w:after="60" w:line="276" w:lineRule="auto"/>
      </w:pPr>
      <w:r>
        <w:rPr>
          <w:b/>
        </w:rPr>
        <w:t xml:space="preserve">Momento de ejecución: </w:t>
      </w:r>
      <w:r>
        <w:t xml:space="preserve">en cada pull request y en cada integración a la rama principal, de modo que ningún código defectuoso llegue a producción sin revisión.</w:t>
      </w:r>
    </w:p>
    <w:p>
      <w:pPr>
        <w:spacing w:after="120" w:line="276" w:lineRule="auto"/>
      </w:pPr>
      <w:r>
        <w:rPr>
          <w:b/>
          <w:sz w:val="26"/>
          <w:szCs w:val="26"/>
          <w:color w:val="2E5496"/>
        </w:rPr>
        <w:t xml:space="preserve">3.2 Ajuste y validación de la API contra un estándar de codificación</w:t>
      </w:r>
    </w:p>
    <w:p>
      <w:pPr>
        <w:jc w:val="both"/>
        <w:spacing w:after="120" w:line="276" w:lineRule="auto"/>
      </w:pPr>
      <w:r>
        <w:t xml:space="preserve">Se adopta un estándar de codificación único para todos los microservicios, basado en la Google Java Style Guide y en las convenciones de nomenclatura de Java, con reglas para indentación, nombres, tamaño de métodos, manejo de excepciones y documentación. El estándar se materializa en un archivo de reglas de Checkstyle versionado en el repositorio, de forma que la validación sea automática y uniforme para todo el equipo.</w:t>
      </w:r>
    </w:p>
    <w:p>
      <w:pPr>
        <w:spacing w:after="120" w:line="276" w:lineRule="auto"/>
      </w:pPr>
      <w:r>
        <w:rPr>
          <w:b/>
          <w:sz w:val="26"/>
          <w:szCs w:val="26"/>
          <w:color w:val="2E5496"/>
        </w:rPr>
        <w:t xml:space="preserve">3.3 Revisión manual y herramientas de análisis</w:t>
      </w:r>
    </w:p>
    <w:p>
      <w:pPr>
        <w:jc w:val="both"/>
        <w:spacing w:after="120" w:line="276" w:lineRule="auto"/>
      </w:pPr>
      <w:r>
        <w:t xml:space="preserve">El análisis automático se complementa con revisión manual por pares, pues ciertos problemas —claridad del diseño, idoneidad de la lógica de negocio o cumplimiento real del requisito— requieren criterio humano:</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Look w:val="04A0"/>
      </w:tblPr>
      <w:tblGrid>
        <w:gridCol w:w="1800"/>
        <w:gridCol w:w="3600"/>
        <w:gridCol w:w="3600"/>
      </w:tblGrid>
      <w:tr>
        <w:tc>
          <w:tcPr>
            <w:tcW w:w="1800" w:type="dxa"/>
            <w:shd w:val="clear" w:color="auto" w:fill="1F3864"/>
            <w:vAlign w:val="center"/>
          </w:tcPr>
          <w:p>
            <w:pPr>
              <w:spacing w:after="20"/>
            </w:pPr>
            <w:r>
              <w:rPr>
                <w:b/>
                <w:color w:val="FFFFFF"/>
                <w:sz w:val="19"/>
              </w:rPr>
              <w:t xml:space="preserve">Enfoque</w:t>
            </w:r>
          </w:p>
        </w:tc>
        <w:tc>
          <w:tcPr>
            <w:tcW w:w="3600" w:type="dxa"/>
            <w:shd w:val="clear" w:color="auto" w:fill="1F3864"/>
            <w:vAlign w:val="center"/>
          </w:tcPr>
          <w:p>
            <w:pPr>
              <w:spacing w:after="20"/>
            </w:pPr>
            <w:r>
              <w:rPr>
                <w:b/>
                <w:color w:val="FFFFFF"/>
                <w:sz w:val="19"/>
              </w:rPr>
              <w:t xml:space="preserve">Mecanismo</w:t>
            </w:r>
          </w:p>
        </w:tc>
        <w:tc>
          <w:tcPr>
            <w:tcW w:w="3600" w:type="dxa"/>
            <w:shd w:val="clear" w:color="auto" w:fill="1F3864"/>
            <w:vAlign w:val="center"/>
          </w:tcPr>
          <w:p>
            <w:pPr>
              <w:spacing w:after="20"/>
            </w:pPr>
            <w:r>
              <w:rPr>
                <w:b/>
                <w:color w:val="FFFFFF"/>
                <w:sz w:val="19"/>
              </w:rPr>
              <w:t xml:space="preserve">Qué detecta</w:t>
            </w:r>
          </w:p>
        </w:tc>
      </w:tr>
      <w:tr>
        <w:tc>
          <w:tcPr>
            <w:tcW w:w="1800" w:type="dxa"/>
            <w:shd w:val="clear" w:color="auto" w:fill="F2F5FB"/>
          </w:tcPr>
          <w:p>
            <w:pPr>
              <w:spacing w:after="20"/>
            </w:pPr>
            <w:r>
              <w:rPr>
                <w:sz w:val="19"/>
              </w:rPr>
              <w:t xml:space="preserve">Automático</w:t>
            </w:r>
          </w:p>
        </w:tc>
        <w:tc>
          <w:tcPr>
            <w:tcW w:w="3600" w:type="dxa"/>
            <w:shd w:val="clear" w:color="auto" w:fill="F2F5FB"/>
          </w:tcPr>
          <w:p>
            <w:pPr>
              <w:spacing w:after="20"/>
            </w:pPr>
            <w:r>
              <w:rPr>
                <w:sz w:val="19"/>
              </w:rPr>
              <w:t xml:space="preserve">SonarQube, Checkstyle, SpotBugs</w:t>
            </w:r>
          </w:p>
        </w:tc>
        <w:tc>
          <w:tcPr>
            <w:tcW w:w="3600" w:type="dxa"/>
            <w:shd w:val="clear" w:color="auto" w:fill="F2F5FB"/>
          </w:tcPr>
          <w:p>
            <w:pPr>
              <w:spacing w:after="20"/>
            </w:pPr>
            <w:r>
              <w:rPr>
                <w:sz w:val="19"/>
              </w:rPr>
              <w:t xml:space="preserve">Bugs, code smells, estilo, vulnerabilidades conocidas</w:t>
            </w:r>
          </w:p>
        </w:tc>
      </w:tr>
      <w:tr>
        <w:tc>
          <w:tcPr>
            <w:tcW w:w="1800" w:type="dxa"/>
            <w:shd w:val="clear" w:color="auto" w:fill="FFFFFF"/>
          </w:tcPr>
          <w:p>
            <w:pPr>
              <w:spacing w:after="20"/>
            </w:pPr>
            <w:r>
              <w:rPr>
                <w:sz w:val="19"/>
              </w:rPr>
              <w:t xml:space="preserve">Manual</w:t>
            </w:r>
          </w:p>
        </w:tc>
        <w:tc>
          <w:tcPr>
            <w:tcW w:w="3600" w:type="dxa"/>
            <w:shd w:val="clear" w:color="auto" w:fill="FFFFFF"/>
          </w:tcPr>
          <w:p>
            <w:pPr>
              <w:spacing w:after="20"/>
            </w:pPr>
            <w:r>
              <w:rPr>
                <w:sz w:val="19"/>
              </w:rPr>
              <w:t xml:space="preserve">Code review en pull request (mín. 1 aprobador)</w:t>
            </w:r>
          </w:p>
        </w:tc>
        <w:tc>
          <w:tcPr>
            <w:tcW w:w="3600" w:type="dxa"/>
            <w:shd w:val="clear" w:color="auto" w:fill="FFFFFF"/>
          </w:tcPr>
          <w:p>
            <w:pPr>
              <w:spacing w:after="20"/>
            </w:pPr>
            <w:r>
              <w:rPr>
                <w:sz w:val="19"/>
              </w:rPr>
              <w:t xml:space="preserve">Diseño, legibilidad, lógica de negocio, cobertura real</w:t>
            </w:r>
          </w:p>
        </w:tc>
      </w:tr>
      <w:tr>
        <w:tc>
          <w:tcPr>
            <w:tcW w:w="1800" w:type="dxa"/>
            <w:shd w:val="clear" w:color="auto" w:fill="F2F5FB"/>
          </w:tcPr>
          <w:p>
            <w:pPr>
              <w:spacing w:after="20"/>
            </w:pPr>
            <w:r>
              <w:rPr>
                <w:sz w:val="19"/>
              </w:rPr>
              <w:t xml:space="preserve">Mixto</w:t>
            </w:r>
          </w:p>
        </w:tc>
        <w:tc>
          <w:tcPr>
            <w:tcW w:w="3600" w:type="dxa"/>
            <w:shd w:val="clear" w:color="auto" w:fill="F2F5FB"/>
          </w:tcPr>
          <w:p>
            <w:pPr>
              <w:spacing w:after="20"/>
            </w:pPr>
            <w:r>
              <w:rPr>
                <w:sz w:val="19"/>
              </w:rPr>
              <w:t xml:space="preserve">Quality Gate + checklist de revisión</w:t>
            </w:r>
          </w:p>
        </w:tc>
        <w:tc>
          <w:tcPr>
            <w:tcW w:w="3600" w:type="dxa"/>
            <w:shd w:val="clear" w:color="auto" w:fill="F2F5FB"/>
          </w:tcPr>
          <w:p>
            <w:pPr>
              <w:spacing w:after="20"/>
            </w:pPr>
            <w:r>
              <w:rPr>
                <w:sz w:val="19"/>
              </w:rPr>
              <w:t xml:space="preserve">Cumplimiento de estándar y de criterios de aceptación</w:t>
            </w:r>
          </w:p>
        </w:tc>
      </w:tr>
    </w:tbl>
    <w:p>
      <w:pPr>
        <w:spacing w:after="120"/>
      </w:pPr>
    </w:p>
    <w:p>
      <w:pPr>
        <w:spacing w:after="160" w:line="276" w:lineRule="auto"/>
      </w:pPr>
      <w:r>
        <w:rPr>
          <w:b/>
          <w:sz w:val="30"/>
          <w:szCs w:val="30"/>
          <w:color w:val="1F3864"/>
        </w:rPr>
        <w:t xml:space="preserve">4. Bitácora de bugs, code smells y vulnerabilidades</w:t>
      </w:r>
    </w:p>
    <w:p>
      <w:pPr>
        <w:jc w:val="both"/>
        <w:spacing w:after="120" w:line="276" w:lineRule="auto"/>
      </w:pPr>
      <w:r>
        <w:t xml:space="preserve">Localizar los defectos no basta: deben registrarse de forma trazable para poder priorizarlos, asignarlos y verificar su corrección. Esta trazabilidad es, según Arangurí (2021), condición necesaria para evidenciar la calidad. Se mantiene una bitácora de defectos (defect log) en el gestor de incidencias (Jira/GitHub Issues), alimentada tanto por los hallazgos de SonarQube como por los de la revisión manual y las pruebas.</w:t>
      </w:r>
    </w:p>
    <w:p>
      <w:pPr>
        <w:jc w:val="both"/>
        <w:spacing w:after="120" w:line="276" w:lineRule="auto"/>
      </w:pPr>
      <w:r>
        <w:t xml:space="preserve">Cada registro de la bitácora contiene, como mínimo, los siguientes campos:</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Look w:val="04A0"/>
      </w:tblPr>
      <w:tblGrid>
        <w:gridCol w:w="2800"/>
        <w:gridCol w:w="6200"/>
      </w:tblGrid>
      <w:tr>
        <w:tc>
          <w:tcPr>
            <w:tcW w:w="2800" w:type="dxa"/>
            <w:shd w:val="clear" w:color="auto" w:fill="1F3864"/>
            <w:vAlign w:val="center"/>
          </w:tcPr>
          <w:p>
            <w:pPr>
              <w:spacing w:after="20"/>
            </w:pPr>
            <w:r>
              <w:rPr>
                <w:b/>
                <w:color w:val="FFFFFF"/>
                <w:sz w:val="19"/>
              </w:rPr>
              <w:t xml:space="preserve">Campo</w:t>
            </w:r>
          </w:p>
        </w:tc>
        <w:tc>
          <w:tcPr>
            <w:tcW w:w="6200" w:type="dxa"/>
            <w:shd w:val="clear" w:color="auto" w:fill="1F3864"/>
            <w:vAlign w:val="center"/>
          </w:tcPr>
          <w:p>
            <w:pPr>
              <w:spacing w:after="20"/>
            </w:pPr>
            <w:r>
              <w:rPr>
                <w:b/>
                <w:color w:val="FFFFFF"/>
                <w:sz w:val="19"/>
              </w:rPr>
              <w:t xml:space="preserve">Descripción</w:t>
            </w:r>
          </w:p>
        </w:tc>
      </w:tr>
      <w:tr>
        <w:tc>
          <w:tcPr>
            <w:tcW w:w="2800" w:type="dxa"/>
            <w:shd w:val="clear" w:color="auto" w:fill="F2F5FB"/>
          </w:tcPr>
          <w:p>
            <w:pPr>
              <w:spacing w:after="20"/>
            </w:pPr>
            <w:r>
              <w:rPr>
                <w:sz w:val="19"/>
              </w:rPr>
              <w:t xml:space="preserve">ID</w:t>
            </w:r>
          </w:p>
        </w:tc>
        <w:tc>
          <w:tcPr>
            <w:tcW w:w="6200" w:type="dxa"/>
            <w:shd w:val="clear" w:color="auto" w:fill="F2F5FB"/>
          </w:tcPr>
          <w:p>
            <w:pPr>
              <w:spacing w:after="20"/>
            </w:pPr>
            <w:r>
              <w:rPr>
                <w:sz w:val="19"/>
              </w:rPr>
              <w:t xml:space="preserve">Identificador único del hallazgo</w:t>
            </w:r>
          </w:p>
        </w:tc>
      </w:tr>
      <w:tr>
        <w:tc>
          <w:tcPr>
            <w:tcW w:w="2800" w:type="dxa"/>
            <w:shd w:val="clear" w:color="auto" w:fill="FFFFFF"/>
          </w:tcPr>
          <w:p>
            <w:pPr>
              <w:spacing w:after="20"/>
            </w:pPr>
            <w:r>
              <w:rPr>
                <w:sz w:val="19"/>
              </w:rPr>
              <w:t xml:space="preserve">Tipo</w:t>
            </w:r>
          </w:p>
        </w:tc>
        <w:tc>
          <w:tcPr>
            <w:tcW w:w="6200" w:type="dxa"/>
            <w:shd w:val="clear" w:color="auto" w:fill="FFFFFF"/>
          </w:tcPr>
          <w:p>
            <w:pPr>
              <w:spacing w:after="20"/>
            </w:pPr>
            <w:r>
              <w:rPr>
                <w:sz w:val="19"/>
              </w:rPr>
              <w:t xml:space="preserve">Bug / Code smell / Vulnerabilidad</w:t>
            </w:r>
          </w:p>
        </w:tc>
      </w:tr>
      <w:tr>
        <w:tc>
          <w:tcPr>
            <w:tcW w:w="2800" w:type="dxa"/>
            <w:shd w:val="clear" w:color="auto" w:fill="F2F5FB"/>
          </w:tcPr>
          <w:p>
            <w:pPr>
              <w:spacing w:after="20"/>
            </w:pPr>
            <w:r>
              <w:rPr>
                <w:sz w:val="19"/>
              </w:rPr>
              <w:t xml:space="preserve">Severidad</w:t>
            </w:r>
          </w:p>
        </w:tc>
        <w:tc>
          <w:tcPr>
            <w:tcW w:w="6200" w:type="dxa"/>
            <w:shd w:val="clear" w:color="auto" w:fill="F2F5FB"/>
          </w:tcPr>
          <w:p>
            <w:pPr>
              <w:spacing w:after="20"/>
            </w:pPr>
            <w:r>
              <w:rPr>
                <w:sz w:val="19"/>
              </w:rPr>
              <w:t xml:space="preserve">Crítica / Alta / Media / Baja</w:t>
            </w:r>
          </w:p>
        </w:tc>
      </w:tr>
      <w:tr>
        <w:tc>
          <w:tcPr>
            <w:tcW w:w="2800" w:type="dxa"/>
            <w:shd w:val="clear" w:color="auto" w:fill="FFFFFF"/>
          </w:tcPr>
          <w:p>
            <w:pPr>
              <w:spacing w:after="20"/>
            </w:pPr>
            <w:r>
              <w:rPr>
                <w:sz w:val="19"/>
              </w:rPr>
              <w:t xml:space="preserve">Microservicio y ubicación</w:t>
            </w:r>
          </w:p>
        </w:tc>
        <w:tc>
          <w:tcPr>
            <w:tcW w:w="6200" w:type="dxa"/>
            <w:shd w:val="clear" w:color="auto" w:fill="FFFFFF"/>
          </w:tcPr>
          <w:p>
            <w:pPr>
              <w:spacing w:after="20"/>
            </w:pPr>
            <w:r>
              <w:rPr>
                <w:sz w:val="19"/>
              </w:rPr>
              <w:t xml:space="preserve">Servicio, archivo y línea afectada</w:t>
            </w:r>
          </w:p>
        </w:tc>
      </w:tr>
      <w:tr>
        <w:tc>
          <w:tcPr>
            <w:tcW w:w="2800" w:type="dxa"/>
            <w:shd w:val="clear" w:color="auto" w:fill="F2F5FB"/>
          </w:tcPr>
          <w:p>
            <w:pPr>
              <w:spacing w:after="20"/>
            </w:pPr>
            <w:r>
              <w:rPr>
                <w:sz w:val="19"/>
              </w:rPr>
              <w:t xml:space="preserve">Descripción</w:t>
            </w:r>
          </w:p>
        </w:tc>
        <w:tc>
          <w:tcPr>
            <w:tcW w:w="6200" w:type="dxa"/>
            <w:shd w:val="clear" w:color="auto" w:fill="F2F5FB"/>
          </w:tcPr>
          <w:p>
            <w:pPr>
              <w:spacing w:after="20"/>
            </w:pPr>
            <w:r>
              <w:rPr>
                <w:sz w:val="19"/>
              </w:rPr>
              <w:t xml:space="preserve">Explicación del problema y su impacto</w:t>
            </w:r>
          </w:p>
        </w:tc>
      </w:tr>
      <w:tr>
        <w:tc>
          <w:tcPr>
            <w:tcW w:w="2800" w:type="dxa"/>
            <w:shd w:val="clear" w:color="auto" w:fill="FFFFFF"/>
          </w:tcPr>
          <w:p>
            <w:pPr>
              <w:spacing w:after="20"/>
            </w:pPr>
            <w:r>
              <w:rPr>
                <w:sz w:val="19"/>
              </w:rPr>
              <w:t xml:space="preserve">Origen</w:t>
            </w:r>
          </w:p>
        </w:tc>
        <w:tc>
          <w:tcPr>
            <w:tcW w:w="6200" w:type="dxa"/>
            <w:shd w:val="clear" w:color="auto" w:fill="FFFFFF"/>
          </w:tcPr>
          <w:p>
            <w:pPr>
              <w:spacing w:after="20"/>
            </w:pPr>
            <w:r>
              <w:rPr>
                <w:sz w:val="19"/>
              </w:rPr>
              <w:t xml:space="preserve">SonarQube, revisión manual o prueba fallida</w:t>
            </w:r>
          </w:p>
        </w:tc>
      </w:tr>
      <w:tr>
        <w:tc>
          <w:tcPr>
            <w:tcW w:w="2800" w:type="dxa"/>
            <w:shd w:val="clear" w:color="auto" w:fill="F2F5FB"/>
          </w:tcPr>
          <w:p>
            <w:pPr>
              <w:spacing w:after="20"/>
            </w:pPr>
            <w:r>
              <w:rPr>
                <w:sz w:val="19"/>
              </w:rPr>
              <w:t xml:space="preserve">Estado</w:t>
            </w:r>
          </w:p>
        </w:tc>
        <w:tc>
          <w:tcPr>
            <w:tcW w:w="6200" w:type="dxa"/>
            <w:shd w:val="clear" w:color="auto" w:fill="F2F5FB"/>
          </w:tcPr>
          <w:p>
            <w:pPr>
              <w:spacing w:after="20"/>
            </w:pPr>
            <w:r>
              <w:rPr>
                <w:sz w:val="19"/>
              </w:rPr>
              <w:t xml:space="preserve">Abierto / En progreso / Resuelto / Verificado</w:t>
            </w:r>
          </w:p>
        </w:tc>
      </w:tr>
      <w:tr>
        <w:tc>
          <w:tcPr>
            <w:tcW w:w="2800" w:type="dxa"/>
            <w:shd w:val="clear" w:color="auto" w:fill="FFFFFF"/>
          </w:tcPr>
          <w:p>
            <w:pPr>
              <w:spacing w:after="20"/>
            </w:pPr>
            <w:r>
              <w:rPr>
                <w:sz w:val="19"/>
              </w:rPr>
              <w:t xml:space="preserve">Responsable y fecha</w:t>
            </w:r>
          </w:p>
        </w:tc>
        <w:tc>
          <w:tcPr>
            <w:tcW w:w="6200" w:type="dxa"/>
            <w:shd w:val="clear" w:color="auto" w:fill="FFFFFF"/>
          </w:tcPr>
          <w:p>
            <w:pPr>
              <w:spacing w:after="20"/>
            </w:pPr>
            <w:r>
              <w:rPr>
                <w:sz w:val="19"/>
              </w:rPr>
              <w:t xml:space="preserve">Asignado y fechas de detección/cierre</w:t>
            </w:r>
          </w:p>
        </w:tc>
      </w:tr>
    </w:tbl>
    <w:p>
      <w:pPr>
        <w:spacing w:after="120"/>
      </w:pPr>
    </w:p>
    <w:p>
      <w:pPr>
        <w:jc w:val="both"/>
        <w:spacing w:after="120" w:line="276" w:lineRule="auto"/>
      </w:pPr>
      <w:r>
        <w:t xml:space="preserve">Ejemplo de registro: «BUG-014 | Code smell | Media | ms-ordenes, OrdenService.java:132 | Método con complejidad ciclomática 18 (&gt; 10) | SonarQube | Resuelto | asignado a E. Rodríguez, detectado 02/10/2026, cerrado 03/10/2026». Este seguimiento permite calcular la densidad de defectos y el tiempo medio de resolución, métricas que retroalimentan la mejora continua.</w:t>
      </w:r>
    </w:p>
    <w:p>
      <w:pPr>
        <w:spacing w:after="160" w:line="276" w:lineRule="auto"/>
      </w:pPr>
      <w:r>
        <w:rPr>
          <w:b/>
          <w:sz w:val="30"/>
          <w:szCs w:val="30"/>
          <w:color w:val="1F3864"/>
        </w:rPr>
        <w:t xml:space="preserve">5. Testing y cobertura</w:t>
      </w:r>
    </w:p>
    <w:p>
      <w:pPr>
        <w:jc w:val="both"/>
        <w:spacing w:after="120" w:line="276" w:lineRule="auto"/>
      </w:pPr>
      <w:r>
        <w:t xml:space="preserve">Las pruebas son el mecanismo que verifica, de forma dinámica, que el software cumple sus requisitos. Arangurí (2021) plantea una metodología de casos de prueba trazables al requisito, y Joyanes Aguilar (2020) insiste en la importancia de comprobar el comportamiento de los algoritmos ante entradas válidas, inválidas y de frontera. Se adopta la pirámide de pruebas: muchas pruebas unitarias (rápidas y baratas), una capa intermedia de integración y pocas pruebas de extremo a extremo.</w:t>
      </w:r>
    </w:p>
    <w:p>
      <w:pPr>
        <w:spacing w:after="120" w:line="276" w:lineRule="auto"/>
      </w:pPr>
      <w:r>
        <w:rPr>
          <w:b/>
          <w:sz w:val="26"/>
          <w:szCs w:val="26"/>
          <w:color w:val="2E5496"/>
        </w:rPr>
        <w:t xml:space="preserve">5.1 Casos de prueba unitarios y de integración</w:t>
      </w:r>
    </w:p>
    <w:p>
      <w:pPr>
        <w:numPr>
          <w:ilvl w:val="0"/>
          <w:numId w:val="1"/>
        </w:numPr>
        <w:ind w:left="360" w:hanging="360"/>
        <w:spacing w:after="60" w:line="276" w:lineRule="auto"/>
      </w:pPr>
      <w:r>
        <w:rPr>
          <w:b/>
        </w:rPr>
        <w:t xml:space="preserve">Pruebas unitarias: </w:t>
      </w:r>
      <w:r>
        <w:t xml:space="preserve">con JUnit 5 verifican la lógica de dominio de forma aislada (validar stock, calcular total, aplicar descuentos, transiciones de estado de la orden). Se diseñan con partición de equivalencia y valores límite para cubrir casos válidos, inválidos y de frontera.</w:t>
      </w:r>
    </w:p>
    <w:p>
      <w:pPr>
        <w:numPr>
          <w:ilvl w:val="0"/>
          <w:numId w:val="1"/>
        </w:numPr>
        <w:ind w:left="360" w:hanging="360"/>
        <w:spacing w:after="60" w:line="276" w:lineRule="auto"/>
      </w:pPr>
      <w:r>
        <w:rPr>
          <w:b/>
        </w:rPr>
        <w:t xml:space="preserve">Pruebas de integración: </w:t>
      </w:r>
      <w:r>
        <w:t xml:space="preserve">verifican la interacción entre capas y con la infraestructura real o simulada (controlador → servicio → repositorio → base de datos). Se usan Spring Boot Test y Testcontainers para levantar instancias efímeras de MySQL y MongoDB, y pruebas de contrato sobre los endpoints OpenAPI.</w:t>
      </w:r>
    </w:p>
    <w:p>
      <w:pPr>
        <w:jc w:val="both"/>
        <w:spacing w:after="120" w:line="276" w:lineRule="auto"/>
      </w:pPr>
      <w:r>
        <w:t xml:space="preserve">Ejemplo de caso de prueba unitario trazable a requisito:</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Look w:val="04A0"/>
      </w:tblPr>
      <w:tblGrid>
        <w:gridCol w:w="1000"/>
        <w:gridCol w:w="3000"/>
        <w:gridCol w:w="2600"/>
        <w:gridCol w:w="2400"/>
      </w:tblGrid>
      <w:tr>
        <w:tc>
          <w:tcPr>
            <w:tcW w:w="1000" w:type="dxa"/>
            <w:shd w:val="clear" w:color="auto" w:fill="1F3864"/>
            <w:vAlign w:val="center"/>
          </w:tcPr>
          <w:p>
            <w:pPr>
              <w:spacing w:after="20"/>
            </w:pPr>
            <w:r>
              <w:rPr>
                <w:b/>
                <w:color w:val="FFFFFF"/>
                <w:sz w:val="19"/>
              </w:rPr>
              <w:t xml:space="preserve">ID</w:t>
            </w:r>
          </w:p>
        </w:tc>
        <w:tc>
          <w:tcPr>
            <w:tcW w:w="3000" w:type="dxa"/>
            <w:shd w:val="clear" w:color="auto" w:fill="1F3864"/>
            <w:vAlign w:val="center"/>
          </w:tcPr>
          <w:p>
            <w:pPr>
              <w:spacing w:after="20"/>
            </w:pPr>
            <w:r>
              <w:rPr>
                <w:b/>
                <w:color w:val="FFFFFF"/>
                <w:sz w:val="19"/>
              </w:rPr>
              <w:t xml:space="preserve">Requisito</w:t>
            </w:r>
          </w:p>
        </w:tc>
        <w:tc>
          <w:tcPr>
            <w:tcW w:w="2600" w:type="dxa"/>
            <w:shd w:val="clear" w:color="auto" w:fill="1F3864"/>
            <w:vAlign w:val="center"/>
          </w:tcPr>
          <w:p>
            <w:pPr>
              <w:spacing w:after="20"/>
            </w:pPr>
            <w:r>
              <w:rPr>
                <w:b/>
                <w:color w:val="FFFFFF"/>
                <w:sz w:val="19"/>
              </w:rPr>
              <w:t xml:space="preserve">Entrada</w:t>
            </w:r>
          </w:p>
        </w:tc>
        <w:tc>
          <w:tcPr>
            <w:tcW w:w="2400" w:type="dxa"/>
            <w:shd w:val="clear" w:color="auto" w:fill="1F3864"/>
            <w:vAlign w:val="center"/>
          </w:tcPr>
          <w:p>
            <w:pPr>
              <w:spacing w:after="20"/>
            </w:pPr>
            <w:r>
              <w:rPr>
                <w:b/>
                <w:color w:val="FFFFFF"/>
                <w:sz w:val="19"/>
              </w:rPr>
              <w:t xml:space="preserve">Resultado esperado</w:t>
            </w:r>
          </w:p>
        </w:tc>
      </w:tr>
      <w:tr>
        <w:tc>
          <w:tcPr>
            <w:tcW w:w="1000" w:type="dxa"/>
            <w:shd w:val="clear" w:color="auto" w:fill="F2F5FB"/>
          </w:tcPr>
          <w:p>
            <w:pPr>
              <w:spacing w:after="20"/>
            </w:pPr>
            <w:r>
              <w:rPr>
                <w:sz w:val="19"/>
              </w:rPr>
              <w:t xml:space="preserve">CP-01</w:t>
            </w:r>
          </w:p>
        </w:tc>
        <w:tc>
          <w:tcPr>
            <w:tcW w:w="3000" w:type="dxa"/>
            <w:shd w:val="clear" w:color="auto" w:fill="F2F5FB"/>
          </w:tcPr>
          <w:p>
            <w:pPr>
              <w:spacing w:after="20"/>
            </w:pPr>
            <w:r>
              <w:rPr>
                <w:sz w:val="19"/>
              </w:rPr>
              <w:t xml:space="preserve">Validar stock (RF-Inventario)</w:t>
            </w:r>
          </w:p>
        </w:tc>
        <w:tc>
          <w:tcPr>
            <w:tcW w:w="2600" w:type="dxa"/>
            <w:shd w:val="clear" w:color="auto" w:fill="F2F5FB"/>
          </w:tcPr>
          <w:p>
            <w:pPr>
              <w:spacing w:after="20"/>
            </w:pPr>
            <w:r>
              <w:rPr>
                <w:sz w:val="19"/>
              </w:rPr>
              <w:t xml:space="preserve">Pedido de 5 uds., stock = 3</w:t>
            </w:r>
          </w:p>
        </w:tc>
        <w:tc>
          <w:tcPr>
            <w:tcW w:w="2400" w:type="dxa"/>
            <w:shd w:val="clear" w:color="auto" w:fill="F2F5FB"/>
          </w:tcPr>
          <w:p>
            <w:pPr>
              <w:spacing w:after="20"/>
            </w:pPr>
            <w:r>
              <w:rPr>
                <w:sz w:val="19"/>
              </w:rPr>
              <w:t xml:space="preserve">Rechazo: stock insuficiente</w:t>
            </w:r>
          </w:p>
        </w:tc>
      </w:tr>
      <w:tr>
        <w:tc>
          <w:tcPr>
            <w:tcW w:w="1000" w:type="dxa"/>
            <w:shd w:val="clear" w:color="auto" w:fill="FFFFFF"/>
          </w:tcPr>
          <w:p>
            <w:pPr>
              <w:spacing w:after="20"/>
            </w:pPr>
            <w:r>
              <w:rPr>
                <w:sz w:val="19"/>
              </w:rPr>
              <w:t xml:space="preserve">CP-02</w:t>
            </w:r>
          </w:p>
        </w:tc>
        <w:tc>
          <w:tcPr>
            <w:tcW w:w="3000" w:type="dxa"/>
            <w:shd w:val="clear" w:color="auto" w:fill="FFFFFF"/>
          </w:tcPr>
          <w:p>
            <w:pPr>
              <w:spacing w:after="20"/>
            </w:pPr>
            <w:r>
              <w:rPr>
                <w:sz w:val="19"/>
              </w:rPr>
              <w:t xml:space="preserve">Calcular total (RF-Órdenes)</w:t>
            </w:r>
          </w:p>
        </w:tc>
        <w:tc>
          <w:tcPr>
            <w:tcW w:w="2600" w:type="dxa"/>
            <w:shd w:val="clear" w:color="auto" w:fill="FFFFFF"/>
          </w:tcPr>
          <w:p>
            <w:pPr>
              <w:spacing w:after="20"/>
            </w:pPr>
            <w:r>
              <w:rPr>
                <w:sz w:val="19"/>
              </w:rPr>
              <w:t xml:space="preserve">2 uds. x $10 + 19 % IVA</w:t>
            </w:r>
          </w:p>
        </w:tc>
        <w:tc>
          <w:tcPr>
            <w:tcW w:w="2400" w:type="dxa"/>
            <w:shd w:val="clear" w:color="auto" w:fill="FFFFFF"/>
          </w:tcPr>
          <w:p>
            <w:pPr>
              <w:spacing w:after="20"/>
            </w:pPr>
            <w:r>
              <w:rPr>
                <w:sz w:val="19"/>
              </w:rPr>
              <w:t xml:space="preserve">Total = $23,80</w:t>
            </w:r>
          </w:p>
        </w:tc>
      </w:tr>
      <w:tr>
        <w:tc>
          <w:tcPr>
            <w:tcW w:w="1000" w:type="dxa"/>
            <w:shd w:val="clear" w:color="auto" w:fill="F2F5FB"/>
          </w:tcPr>
          <w:p>
            <w:pPr>
              <w:spacing w:after="20"/>
            </w:pPr>
            <w:r>
              <w:rPr>
                <w:sz w:val="19"/>
              </w:rPr>
              <w:t xml:space="preserve">CP-03</w:t>
            </w:r>
          </w:p>
        </w:tc>
        <w:tc>
          <w:tcPr>
            <w:tcW w:w="3000" w:type="dxa"/>
            <w:shd w:val="clear" w:color="auto" w:fill="F2F5FB"/>
          </w:tcPr>
          <w:p>
            <w:pPr>
              <w:spacing w:after="20"/>
            </w:pPr>
            <w:r>
              <w:rPr>
                <w:sz w:val="19"/>
              </w:rPr>
              <w:t xml:space="preserve">Aplicar descuento</w:t>
            </w:r>
          </w:p>
        </w:tc>
        <w:tc>
          <w:tcPr>
            <w:tcW w:w="2600" w:type="dxa"/>
            <w:shd w:val="clear" w:color="auto" w:fill="F2F5FB"/>
          </w:tcPr>
          <w:p>
            <w:pPr>
              <w:spacing w:after="20"/>
            </w:pPr>
            <w:r>
              <w:rPr>
                <w:sz w:val="19"/>
              </w:rPr>
              <w:t xml:space="preserve">Cupón 10 % sobre $100</w:t>
            </w:r>
          </w:p>
        </w:tc>
        <w:tc>
          <w:tcPr>
            <w:tcW w:w="2400" w:type="dxa"/>
            <w:shd w:val="clear" w:color="auto" w:fill="F2F5FB"/>
          </w:tcPr>
          <w:p>
            <w:pPr>
              <w:spacing w:after="20"/>
            </w:pPr>
            <w:r>
              <w:rPr>
                <w:sz w:val="19"/>
              </w:rPr>
              <w:t xml:space="preserve">Total = $90,00</w:t>
            </w:r>
          </w:p>
        </w:tc>
      </w:tr>
      <w:tr>
        <w:tc>
          <w:tcPr>
            <w:tcW w:w="1000" w:type="dxa"/>
            <w:shd w:val="clear" w:color="auto" w:fill="FFFFFF"/>
          </w:tcPr>
          <w:p>
            <w:pPr>
              <w:spacing w:after="20"/>
            </w:pPr>
            <w:r>
              <w:rPr>
                <w:sz w:val="19"/>
              </w:rPr>
              <w:t xml:space="preserve">CP-04</w:t>
            </w:r>
          </w:p>
        </w:tc>
        <w:tc>
          <w:tcPr>
            <w:tcW w:w="3000" w:type="dxa"/>
            <w:shd w:val="clear" w:color="auto" w:fill="FFFFFF"/>
          </w:tcPr>
          <w:p>
            <w:pPr>
              <w:spacing w:after="20"/>
            </w:pPr>
            <w:r>
              <w:rPr>
                <w:sz w:val="19"/>
              </w:rPr>
              <w:t xml:space="preserve">Transición de estado</w:t>
            </w:r>
          </w:p>
        </w:tc>
        <w:tc>
          <w:tcPr>
            <w:tcW w:w="2600" w:type="dxa"/>
            <w:shd w:val="clear" w:color="auto" w:fill="FFFFFF"/>
          </w:tcPr>
          <w:p>
            <w:pPr>
              <w:spacing w:after="20"/>
            </w:pPr>
            <w:r>
              <w:rPr>
                <w:sz w:val="19"/>
              </w:rPr>
              <w:t xml:space="preserve">Orden PAGADA → ENVIADA</w:t>
            </w:r>
          </w:p>
        </w:tc>
        <w:tc>
          <w:tcPr>
            <w:tcW w:w="2400" w:type="dxa"/>
            <w:shd w:val="clear" w:color="auto" w:fill="FFFFFF"/>
          </w:tcPr>
          <w:p>
            <w:pPr>
              <w:spacing w:after="20"/>
            </w:pPr>
            <w:r>
              <w:rPr>
                <w:sz w:val="19"/>
              </w:rPr>
              <w:t xml:space="preserve">Transición permitida</w:t>
            </w:r>
          </w:p>
        </w:tc>
      </w:tr>
    </w:tbl>
    <w:p>
      <w:pPr>
        <w:spacing w:after="120"/>
      </w:pPr>
    </w:p>
    <w:p>
      <w:pPr>
        <w:spacing w:after="120" w:line="276" w:lineRule="auto"/>
      </w:pPr>
      <w:r>
        <w:rPr>
          <w:b/>
          <w:sz w:val="26"/>
          <w:szCs w:val="26"/>
          <w:color w:val="2E5496"/>
        </w:rPr>
        <w:t xml:space="preserve">5.2 Mocks y test doubles</w:t>
      </w:r>
    </w:p>
    <w:p>
      <w:pPr>
        <w:jc w:val="both"/>
        <w:spacing w:after="120" w:line="276" w:lineRule="auto"/>
      </w:pPr>
      <w:r>
        <w:t xml:space="preserve">Para probar un componente de forma aislada se sustituyen sus dependencias por dobles de prueba (test doubles), lo que evita depender de servicios externos lentos o no deterministas (por ejemplo, la pasarela de pago real):</w:t>
      </w:r>
    </w:p>
    <w:p>
      <w:pPr>
        <w:numPr>
          <w:ilvl w:val="0"/>
          <w:numId w:val="1"/>
        </w:numPr>
        <w:ind w:left="360" w:hanging="360"/>
        <w:spacing w:after="60" w:line="276" w:lineRule="auto"/>
      </w:pPr>
      <w:r>
        <w:rPr>
          <w:b/>
        </w:rPr>
        <w:t xml:space="preserve">Mocks: </w:t>
      </w:r>
      <w:r>
        <w:t xml:space="preserve">con Mockito se simula el comportamiento de repositorios y clientes de otros microservicios, verificando además que se invoquen correctamente.</w:t>
      </w:r>
    </w:p>
    <w:p>
      <w:pPr>
        <w:numPr>
          <w:ilvl w:val="0"/>
          <w:numId w:val="1"/>
        </w:numPr>
        <w:ind w:left="360" w:hanging="360"/>
        <w:spacing w:after="60" w:line="276" w:lineRule="auto"/>
      </w:pPr>
      <w:r>
        <w:rPr>
          <w:b/>
        </w:rPr>
        <w:t xml:space="preserve">Stubs: </w:t>
      </w:r>
      <w:r>
        <w:t xml:space="preserve">devuelven respuestas predefinidas (p. ej., un pago aprobado) para ejercitar los distintos caminos lógicos.</w:t>
      </w:r>
    </w:p>
    <w:p>
      <w:pPr>
        <w:numPr>
          <w:ilvl w:val="0"/>
          <w:numId w:val="1"/>
        </w:numPr>
        <w:ind w:left="360" w:hanging="360"/>
        <w:spacing w:after="60" w:line="276" w:lineRule="auto"/>
      </w:pPr>
      <w:r>
        <w:rPr>
          <w:b/>
        </w:rPr>
        <w:t xml:space="preserve">Fakes: </w:t>
      </w:r>
      <w:r>
        <w:t xml:space="preserve">implementaciones ligeras en memoria usadas como sustituto de la base de datos en pruebas rápidas.</w:t>
      </w:r>
    </w:p>
    <w:p>
      <w:pPr>
        <w:numPr>
          <w:ilvl w:val="0"/>
          <w:numId w:val="1"/>
        </w:numPr>
        <w:ind w:left="360" w:hanging="360"/>
        <w:spacing w:after="60" w:line="276" w:lineRule="auto"/>
      </w:pPr>
      <w:r>
        <w:rPr>
          <w:b/>
        </w:rPr>
        <w:t xml:space="preserve">WireMock: </w:t>
      </w:r>
      <w:r>
        <w:t xml:space="preserve">simula el servicio externo de pago (sandbox) para probar escenarios de aprobación, rechazo y timeout sin costo ni efectos reales.</w:t>
      </w:r>
    </w:p>
    <w:p>
      <w:pPr>
        <w:spacing w:after="120" w:line="276" w:lineRule="auto"/>
      </w:pPr>
      <w:r>
        <w:rPr>
          <w:b/>
          <w:sz w:val="26"/>
          <w:szCs w:val="26"/>
          <w:color w:val="2E5496"/>
        </w:rPr>
        <w:t xml:space="preserve">5.3 Alcanzar cobertura del 80 %</w:t>
      </w:r>
    </w:p>
    <w:p>
      <w:pPr>
        <w:jc w:val="both"/>
        <w:spacing w:after="120" w:line="276" w:lineRule="auto"/>
      </w:pPr>
      <w:r>
        <w:t xml:space="preserve">La cobertura de código mide qué porcentaje del código es ejercitado por las pruebas. Se fija un objetivo mínimo del 80 % de cobertura de líneas y ramas, medido con JaCoCo e integrado en el Quality Gate de SonarQube: si un cambio reduce la cobertura por debajo del umbral, el pipeline falla y la fusión se bloquea. Se prioriza la cobertura de la capa de dominio por concentrar la lógica de negocio crítica. Conviene recordar que la cobertura es condición necesaria pero no suficiente: se complementa con pruebas significativas de casos límite y de error, no solo del camino feliz.</w:t>
      </w:r>
    </w:p>
    <w:p>
      <w:pPr>
        <w:spacing w:after="160" w:line="276" w:lineRule="auto"/>
      </w:pPr>
      <w:r>
        <w:rPr>
          <w:b/>
          <w:sz w:val="30"/>
          <w:szCs w:val="30"/>
          <w:color w:val="1F3864"/>
        </w:rPr>
        <w:t xml:space="preserve">6. Seguridad y hardening</w:t>
      </w:r>
    </w:p>
    <w:p>
      <w:pPr>
        <w:jc w:val="both"/>
        <w:spacing w:after="120" w:line="276" w:lineRule="auto"/>
      </w:pPr>
      <w:r>
        <w:t xml:space="preserve">El hardening consiste en reducir la superficie de ataque del sistema aplicando configuraciones seguras por defecto y eliminando elementos innecesarios. Dado que la tienda maneja datos personales y pagos, la seguridad es un atributo de calidad prioritario.</w:t>
      </w:r>
    </w:p>
    <w:p>
      <w:pPr>
        <w:spacing w:after="120" w:line="276" w:lineRule="auto"/>
      </w:pPr>
      <w:r>
        <w:rPr>
          <w:b/>
          <w:sz w:val="26"/>
          <w:szCs w:val="26"/>
          <w:color w:val="2E5496"/>
        </w:rPr>
        <w:t xml:space="preserve">6.1 Análisis de vulnerabilidades OWASP</w:t>
      </w:r>
    </w:p>
    <w:p>
      <w:pPr>
        <w:jc w:val="both"/>
        <w:spacing w:after="120" w:line="276" w:lineRule="auto"/>
      </w:pPr>
      <w:r>
        <w:t xml:space="preserve">Se toma como referencia el OWASP Top 10 (riesgos más críticos en aplicaciones web) y se aplican controles específicos:</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Look w:val="04A0"/>
      </w:tblPr>
      <w:tblGrid>
        <w:gridCol w:w="3000"/>
        <w:gridCol w:w="6000"/>
      </w:tblGrid>
      <w:tr>
        <w:tc>
          <w:tcPr>
            <w:tcW w:w="3000" w:type="dxa"/>
            <w:shd w:val="clear" w:color="auto" w:fill="1F3864"/>
            <w:vAlign w:val="center"/>
          </w:tcPr>
          <w:p>
            <w:pPr>
              <w:spacing w:after="20"/>
            </w:pPr>
            <w:r>
              <w:rPr>
                <w:b/>
                <w:color w:val="FFFFFF"/>
                <w:sz w:val="19"/>
              </w:rPr>
              <w:t xml:space="preserve">Riesgo OWASP</w:t>
            </w:r>
          </w:p>
        </w:tc>
        <w:tc>
          <w:tcPr>
            <w:tcW w:w="6000" w:type="dxa"/>
            <w:shd w:val="clear" w:color="auto" w:fill="1F3864"/>
            <w:vAlign w:val="center"/>
          </w:tcPr>
          <w:p>
            <w:pPr>
              <w:spacing w:after="20"/>
            </w:pPr>
            <w:r>
              <w:rPr>
                <w:b/>
                <w:color w:val="FFFFFF"/>
                <w:sz w:val="19"/>
              </w:rPr>
              <w:t xml:space="preserve">Control aplicado</w:t>
            </w:r>
          </w:p>
        </w:tc>
      </w:tr>
      <w:tr>
        <w:tc>
          <w:tcPr>
            <w:tcW w:w="3000" w:type="dxa"/>
            <w:shd w:val="clear" w:color="auto" w:fill="F2F5FB"/>
          </w:tcPr>
          <w:p>
            <w:pPr>
              <w:spacing w:after="20"/>
            </w:pPr>
            <w:r>
              <w:rPr>
                <w:sz w:val="19"/>
              </w:rPr>
              <w:t xml:space="preserve">Control de acceso roto</w:t>
            </w:r>
          </w:p>
        </w:tc>
        <w:tc>
          <w:tcPr>
            <w:tcW w:w="6000" w:type="dxa"/>
            <w:shd w:val="clear" w:color="auto" w:fill="F2F5FB"/>
          </w:tcPr>
          <w:p>
            <w:pPr>
              <w:spacing w:after="20"/>
            </w:pPr>
            <w:r>
              <w:rPr>
                <w:sz w:val="19"/>
              </w:rPr>
              <w:t xml:space="preserve">Autorización por roles en cada endpoint; validación de propiedad del recurso</w:t>
            </w:r>
          </w:p>
        </w:tc>
      </w:tr>
      <w:tr>
        <w:tc>
          <w:tcPr>
            <w:tcW w:w="3000" w:type="dxa"/>
            <w:shd w:val="clear" w:color="auto" w:fill="FFFFFF"/>
          </w:tcPr>
          <w:p>
            <w:pPr>
              <w:spacing w:after="20"/>
            </w:pPr>
            <w:r>
              <w:rPr>
                <w:sz w:val="19"/>
              </w:rPr>
              <w:t xml:space="preserve">Fallos criptográficos</w:t>
            </w:r>
          </w:p>
        </w:tc>
        <w:tc>
          <w:tcPr>
            <w:tcW w:w="6000" w:type="dxa"/>
            <w:shd w:val="clear" w:color="auto" w:fill="FFFFFF"/>
          </w:tcPr>
          <w:p>
            <w:pPr>
              <w:spacing w:after="20"/>
            </w:pPr>
            <w:r>
              <w:rPr>
                <w:sz w:val="19"/>
              </w:rPr>
              <w:t xml:space="preserve">HTTPS/TLS obligatorio; contraseñas con BCrypt; secretos en bóveda</w:t>
            </w:r>
          </w:p>
        </w:tc>
      </w:tr>
      <w:tr>
        <w:tc>
          <w:tcPr>
            <w:tcW w:w="3000" w:type="dxa"/>
            <w:shd w:val="clear" w:color="auto" w:fill="F2F5FB"/>
          </w:tcPr>
          <w:p>
            <w:pPr>
              <w:spacing w:after="20"/>
            </w:pPr>
            <w:r>
              <w:rPr>
                <w:sz w:val="19"/>
              </w:rPr>
              <w:t xml:space="preserve">Inyección (SQL/NoSQL)</w:t>
            </w:r>
          </w:p>
        </w:tc>
        <w:tc>
          <w:tcPr>
            <w:tcW w:w="6000" w:type="dxa"/>
            <w:shd w:val="clear" w:color="auto" w:fill="F2F5FB"/>
          </w:tcPr>
          <w:p>
            <w:pPr>
              <w:spacing w:after="20"/>
            </w:pPr>
            <w:r>
              <w:rPr>
                <w:sz w:val="19"/>
              </w:rPr>
              <w:t xml:space="preserve">Consultas parametrizadas (JPA) y validación de entradas</w:t>
            </w:r>
          </w:p>
        </w:tc>
      </w:tr>
      <w:tr>
        <w:tc>
          <w:tcPr>
            <w:tcW w:w="3000" w:type="dxa"/>
            <w:shd w:val="clear" w:color="auto" w:fill="FFFFFF"/>
          </w:tcPr>
          <w:p>
            <w:pPr>
              <w:spacing w:after="20"/>
            </w:pPr>
            <w:r>
              <w:rPr>
                <w:sz w:val="19"/>
              </w:rPr>
              <w:t xml:space="preserve">Diseño inseguro</w:t>
            </w:r>
          </w:p>
        </w:tc>
        <w:tc>
          <w:tcPr>
            <w:tcW w:w="6000" w:type="dxa"/>
            <w:shd w:val="clear" w:color="auto" w:fill="FFFFFF"/>
          </w:tcPr>
          <w:p>
            <w:pPr>
              <w:spacing w:after="20"/>
            </w:pPr>
            <w:r>
              <w:rPr>
                <w:sz w:val="19"/>
              </w:rPr>
              <w:t xml:space="preserve">Modelado de amenazas y principio de mínimo privilegio</w:t>
            </w:r>
          </w:p>
        </w:tc>
      </w:tr>
      <w:tr>
        <w:tc>
          <w:tcPr>
            <w:tcW w:w="3000" w:type="dxa"/>
            <w:shd w:val="clear" w:color="auto" w:fill="F2F5FB"/>
          </w:tcPr>
          <w:p>
            <w:pPr>
              <w:spacing w:after="20"/>
            </w:pPr>
            <w:r>
              <w:rPr>
                <w:sz w:val="19"/>
              </w:rPr>
              <w:t xml:space="preserve">Configuración incorrecta</w:t>
            </w:r>
          </w:p>
        </w:tc>
        <w:tc>
          <w:tcPr>
            <w:tcW w:w="6000" w:type="dxa"/>
            <w:shd w:val="clear" w:color="auto" w:fill="F2F5FB"/>
          </w:tcPr>
          <w:p>
            <w:pPr>
              <w:spacing w:after="20"/>
            </w:pPr>
            <w:r>
              <w:rPr>
                <w:sz w:val="19"/>
              </w:rPr>
              <w:t xml:space="preserve">Hardening del framework y escaneo de contenedores</w:t>
            </w:r>
          </w:p>
        </w:tc>
      </w:tr>
      <w:tr>
        <w:tc>
          <w:tcPr>
            <w:tcW w:w="3000" w:type="dxa"/>
            <w:shd w:val="clear" w:color="auto" w:fill="FFFFFF"/>
          </w:tcPr>
          <w:p>
            <w:pPr>
              <w:spacing w:after="20"/>
            </w:pPr>
            <w:r>
              <w:rPr>
                <w:sz w:val="19"/>
              </w:rPr>
              <w:t xml:space="preserve">Componentes vulnerables</w:t>
            </w:r>
          </w:p>
        </w:tc>
        <w:tc>
          <w:tcPr>
            <w:tcW w:w="6000" w:type="dxa"/>
            <w:shd w:val="clear" w:color="auto" w:fill="FFFFFF"/>
          </w:tcPr>
          <w:p>
            <w:pPr>
              <w:spacing w:after="20"/>
            </w:pPr>
            <w:r>
              <w:rPr>
                <w:sz w:val="19"/>
              </w:rPr>
              <w:t xml:space="preserve">OWASP Dependency-Check en el pipeline</w:t>
            </w:r>
          </w:p>
        </w:tc>
      </w:tr>
    </w:tbl>
    <w:p>
      <w:pPr>
        <w:spacing w:after="120"/>
      </w:pPr>
    </w:p>
    <w:p>
      <w:pPr>
        <w:jc w:val="both"/>
        <w:spacing w:after="120" w:line="276" w:lineRule="auto"/>
      </w:pPr>
      <w:r>
        <w:t xml:space="preserve">Herramientas: OWASP ZAP para escaneo dinámico (DAST) de los endpoints, OWASP Dependency-Check para vulnerabilidades en librerías de terceros, y análisis de seguridad de SonarQube (SAST). Los hallazgos se registran en la bitácora de la sección 4.</w:t>
      </w:r>
    </w:p>
    <w:p>
      <w:pPr>
        <w:spacing w:after="120" w:line="276" w:lineRule="auto"/>
      </w:pPr>
      <w:r>
        <w:rPr>
          <w:b/>
          <w:sz w:val="26"/>
          <w:szCs w:val="26"/>
          <w:color w:val="2E5496"/>
        </w:rPr>
        <w:t xml:space="preserve">6.2 Configuraciones de seguridad del framework</w:t>
      </w:r>
    </w:p>
    <w:p>
      <w:pPr>
        <w:numPr>
          <w:ilvl w:val="0"/>
          <w:numId w:val="1"/>
        </w:numPr>
        <w:ind w:left="360" w:hanging="360"/>
        <w:spacing w:after="60" w:line="276" w:lineRule="auto"/>
      </w:pPr>
      <w:r>
        <w:t xml:space="preserve">Spring Security con autenticación JWT y expiración de tokens; refresco controlado.</w:t>
      </w:r>
    </w:p>
    <w:p>
      <w:pPr>
        <w:numPr>
          <w:ilvl w:val="0"/>
          <w:numId w:val="1"/>
        </w:numPr>
        <w:ind w:left="360" w:hanging="360"/>
        <w:spacing w:after="60" w:line="276" w:lineRule="auto"/>
      </w:pPr>
      <w:r>
        <w:t xml:space="preserve">Validación de entradas con Bean Validation (@Valid) en todos los DTO expuestos.</w:t>
      </w:r>
    </w:p>
    <w:p>
      <w:pPr>
        <w:numPr>
          <w:ilvl w:val="0"/>
          <w:numId w:val="1"/>
        </w:numPr>
        <w:ind w:left="360" w:hanging="360"/>
        <w:spacing w:after="60" w:line="276" w:lineRule="auto"/>
      </w:pPr>
      <w:r>
        <w:t xml:space="preserve">CORS restringido a los orígenes autorizados y encabezados de seguridad (HSTS, X-Content-Type-Options).</w:t>
      </w:r>
    </w:p>
    <w:p>
      <w:pPr>
        <w:numPr>
          <w:ilvl w:val="0"/>
          <w:numId w:val="1"/>
        </w:numPr>
        <w:ind w:left="360" w:hanging="360"/>
        <w:spacing w:after="60" w:line="276" w:lineRule="auto"/>
      </w:pPr>
      <w:r>
        <w:t xml:space="preserve">Rate limiting en el API Gateway para mitigar abuso y ataques de fuerza bruta.</w:t>
      </w:r>
    </w:p>
    <w:p>
      <w:pPr>
        <w:numPr>
          <w:ilvl w:val="0"/>
          <w:numId w:val="1"/>
        </w:numPr>
        <w:ind w:left="360" w:hanging="360"/>
        <w:spacing w:after="60" w:line="276" w:lineRule="auto"/>
      </w:pPr>
      <w:r>
        <w:t xml:space="preserve">Deshabilitar trazas de error detalladas en producción y ocultar cabeceras que revelen versiones.</w:t>
      </w:r>
    </w:p>
    <w:p>
      <w:pPr>
        <w:numPr>
          <w:ilvl w:val="0"/>
          <w:numId w:val="1"/>
        </w:numPr>
        <w:ind w:left="360" w:hanging="360"/>
        <w:spacing w:after="60" w:line="276" w:lineRule="auto"/>
      </w:pPr>
      <w:r>
        <w:t xml:space="preserve">Gestión de secretos fuera del código (variables de entorno / bóveda), nunca en el repositorio.</w:t>
      </w:r>
    </w:p>
    <w:p>
      <w:pPr>
        <w:spacing w:after="120" w:line="276" w:lineRule="auto"/>
      </w:pPr>
      <w:r>
        <w:rPr>
          <w:b/>
          <w:sz w:val="26"/>
          <w:szCs w:val="26"/>
          <w:color w:val="2E5496"/>
        </w:rPr>
        <w:t xml:space="preserve">6.3 Ciberataques controlados</w:t>
      </w:r>
    </w:p>
    <w:p>
      <w:pPr>
        <w:jc w:val="both"/>
        <w:spacing w:after="120" w:line="276" w:lineRule="auto"/>
      </w:pPr>
      <w:r>
        <w:t xml:space="preserve">Se realizan pruebas de penetración controladas (ethical hacking) en un entorno de preproducción, con autorización previa y sin afectar datos reales, para validar la resistencia del sistema:</w:t>
      </w:r>
    </w:p>
    <w:p>
      <w:pPr>
        <w:numPr>
          <w:ilvl w:val="0"/>
          <w:numId w:val="1"/>
        </w:numPr>
        <w:ind w:left="360" w:hanging="360"/>
        <w:spacing w:after="60" w:line="276" w:lineRule="auto"/>
      </w:pPr>
      <w:r>
        <w:t xml:space="preserve">Pruebas de inyección SQL/NoSQL y de cross-site scripting (XSS) sobre los endpoints.</w:t>
      </w:r>
    </w:p>
    <w:p>
      <w:pPr>
        <w:numPr>
          <w:ilvl w:val="0"/>
          <w:numId w:val="1"/>
        </w:numPr>
        <w:ind w:left="360" w:hanging="360"/>
        <w:spacing w:after="60" w:line="276" w:lineRule="auto"/>
      </w:pPr>
      <w:r>
        <w:t xml:space="preserve">Intentos de evasión de autenticación y de escalamiento de privilegios.</w:t>
      </w:r>
    </w:p>
    <w:p>
      <w:pPr>
        <w:numPr>
          <w:ilvl w:val="0"/>
          <w:numId w:val="1"/>
        </w:numPr>
        <w:ind w:left="360" w:hanging="360"/>
        <w:spacing w:after="60" w:line="276" w:lineRule="auto"/>
      </w:pPr>
      <w:r>
        <w:t xml:space="preserve">Pruebas de denegación de servicio controladas para verificar el rate limiting y la autorrecuperación.</w:t>
      </w:r>
    </w:p>
    <w:p>
      <w:pPr>
        <w:numPr>
          <w:ilvl w:val="0"/>
          <w:numId w:val="1"/>
        </w:numPr>
        <w:ind w:left="360" w:hanging="360"/>
        <w:spacing w:after="60" w:line="276" w:lineRule="auto"/>
      </w:pPr>
      <w:r>
        <w:t xml:space="preserve">Verificación de la correcta expiración e invalidación de tokens JWT.</w:t>
      </w:r>
    </w:p>
    <w:p>
      <w:pPr>
        <w:jc w:val="both"/>
        <w:spacing w:after="120" w:line="276" w:lineRule="auto"/>
      </w:pPr>
      <w:r>
        <w:t xml:space="preserve">Cada hallazgo se documenta, se prioriza por severidad y se corrige antes del paso a producción, cerrando el ciclo de verificación propuesto por Arangurí (2021).</w:t>
      </w:r>
    </w:p>
    <w:p>
      <w:pPr>
        <w:spacing w:after="160" w:line="276" w:lineRule="auto"/>
      </w:pPr>
      <w:r>
        <w:rPr>
          <w:b/>
          <w:sz w:val="30"/>
          <w:szCs w:val="30"/>
          <w:color w:val="1F3864"/>
        </w:rPr>
        <w:t xml:space="preserve">7. Monitorización y observabilidad</w:t>
      </w:r>
    </w:p>
    <w:p>
      <w:pPr>
        <w:jc w:val="both"/>
        <w:spacing w:after="120" w:line="276" w:lineRule="auto"/>
      </w:pPr>
      <w:r>
        <w:t xml:space="preserve">La observabilidad permite comprender el estado interno del sistema a partir de sus salidas: métricas, registros (logs) y trazas. En una arquitectura de microservicios es imprescindible, pues una petición atraviesa varios servicios y un fallo puede originarse en cualquiera de ellos (Newman, 2021).</w:t>
      </w:r>
    </w:p>
    <w:p>
      <w:pPr>
        <w:spacing w:after="120" w:line="276" w:lineRule="auto"/>
      </w:pPr>
      <w:r>
        <w:rPr>
          <w:b/>
          <w:sz w:val="26"/>
          <w:szCs w:val="26"/>
          <w:color w:val="2E5496"/>
        </w:rPr>
        <w:t xml:space="preserve">7.1 Logging y trazabilidad de operaciones</w:t>
      </w:r>
    </w:p>
    <w:p>
      <w:pPr>
        <w:numPr>
          <w:ilvl w:val="0"/>
          <w:numId w:val="1"/>
        </w:numPr>
        <w:ind w:left="360" w:hanging="360"/>
        <w:spacing w:after="60" w:line="276" w:lineRule="auto"/>
      </w:pPr>
      <w:r>
        <w:t xml:space="preserve">Logs estructurados en formato JSON con nivel (INFO/WARN/ERROR), marca de tiempo y servicio de origen.</w:t>
      </w:r>
    </w:p>
    <w:p>
      <w:pPr>
        <w:numPr>
          <w:ilvl w:val="0"/>
          <w:numId w:val="1"/>
        </w:numPr>
        <w:ind w:left="360" w:hanging="360"/>
        <w:spacing w:after="60" w:line="276" w:lineRule="auto"/>
      </w:pPr>
      <w:r>
        <w:rPr>
          <w:b/>
        </w:rPr>
        <w:t xml:space="preserve">Trazabilidad distribuida: </w:t>
      </w:r>
      <w:r>
        <w:t xml:space="preserve">cada petición recibe un identificador de correlación (trace ID) que se propaga entre microservicios, de modo que es posible seguir una orden de principio a fin.</w:t>
      </w:r>
    </w:p>
    <w:p>
      <w:pPr>
        <w:numPr>
          <w:ilvl w:val="0"/>
          <w:numId w:val="1"/>
        </w:numPr>
        <w:ind w:left="360" w:hanging="360"/>
        <w:spacing w:after="60" w:line="276" w:lineRule="auto"/>
      </w:pPr>
      <w:r>
        <w:t xml:space="preserve">Centralización de logs en una pila ELK (Elasticsearch, Logstash, Kibana) o equivalente, con retención definida.</w:t>
      </w:r>
    </w:p>
    <w:p>
      <w:pPr>
        <w:numPr>
          <w:ilvl w:val="0"/>
          <w:numId w:val="1"/>
        </w:numPr>
        <w:ind w:left="360" w:hanging="360"/>
        <w:spacing w:after="60" w:line="276" w:lineRule="auto"/>
      </w:pPr>
      <w:r>
        <w:t xml:space="preserve">Nunca se registran datos sensibles (contraseñas, tokens o datos de tarjeta); se enmascaran.</w:t>
      </w:r>
    </w:p>
    <w:p>
      <w:pPr>
        <w:spacing w:after="120" w:line="276" w:lineRule="auto"/>
      </w:pPr>
      <w:r>
        <w:rPr>
          <w:b/>
          <w:sz w:val="26"/>
          <w:szCs w:val="26"/>
          <w:color w:val="2E5496"/>
        </w:rPr>
        <w:t xml:space="preserve">7.2 Dashboards personalizados con reportes de la API</w:t>
      </w:r>
    </w:p>
    <w:p>
      <w:pPr>
        <w:jc w:val="both"/>
        <w:spacing w:after="120" w:line="276" w:lineRule="auto"/>
      </w:pPr>
      <w:r>
        <w:t xml:space="preserve">Las métricas expuestas por cada microservicio (Spring Boot Actuator + Micrometer) se recolectan con Prometheus y se visualizan en tableros de Grafana que reportan, en tiempo real:</w:t>
      </w:r>
    </w:p>
    <w:p>
      <w:pPr>
        <w:numPr>
          <w:ilvl w:val="0"/>
          <w:numId w:val="1"/>
        </w:numPr>
        <w:ind w:left="360" w:hanging="360"/>
        <w:spacing w:after="60" w:line="276" w:lineRule="auto"/>
      </w:pPr>
      <w:r>
        <w:t xml:space="preserve">Throughput, latencia (p95/p99) y tasa de errores por endpoint y por microservicio.</w:t>
      </w:r>
    </w:p>
    <w:p>
      <w:pPr>
        <w:numPr>
          <w:ilvl w:val="0"/>
          <w:numId w:val="1"/>
        </w:numPr>
        <w:ind w:left="360" w:hanging="360"/>
        <w:spacing w:after="60" w:line="276" w:lineRule="auto"/>
      </w:pPr>
      <w:r>
        <w:t xml:space="preserve">Uso de CPU y memoria, y estado de salud (health checks) de cada servicio.</w:t>
      </w:r>
    </w:p>
    <w:p>
      <w:pPr>
        <w:numPr>
          <w:ilvl w:val="0"/>
          <w:numId w:val="1"/>
        </w:numPr>
        <w:ind w:left="360" w:hanging="360"/>
        <w:spacing w:after="60" w:line="276" w:lineRule="auto"/>
      </w:pPr>
      <w:r>
        <w:t xml:space="preserve">Métricas de negocio: órdenes por minuto, pagos aprobados/rechazados, productos sin stock.</w:t>
      </w:r>
    </w:p>
    <w:p>
      <w:pPr>
        <w:numPr>
          <w:ilvl w:val="0"/>
          <w:numId w:val="1"/>
        </w:numPr>
        <w:ind w:left="360" w:hanging="360"/>
        <w:spacing w:after="60" w:line="276" w:lineRule="auto"/>
      </w:pPr>
      <w:r>
        <w:t xml:space="preserve">Evolución de la cobertura y de la deuda técnica (desde SonarQube).</w:t>
      </w:r>
    </w:p>
    <w:p>
      <w:pPr>
        <w:spacing w:after="120" w:line="276" w:lineRule="auto"/>
      </w:pPr>
      <w:r>
        <w:rPr>
          <w:b/>
          <w:sz w:val="26"/>
          <w:szCs w:val="26"/>
          <w:color w:val="2E5496"/>
        </w:rPr>
        <w:t xml:space="preserve">7.3 Alertas tempranas ante fallos</w:t>
      </w:r>
    </w:p>
    <w:p>
      <w:pPr>
        <w:jc w:val="both"/>
        <w:spacing w:after="120" w:line="276" w:lineRule="auto"/>
      </w:pPr>
      <w:r>
        <w:t xml:space="preserve">Se configuran alertas automáticas (Prometheus Alertmanager / Grafana Alerting) que notifican por correo o mensajería cuando un indicador supera su umbral, de modo que el equipo actúe antes de que el usuario perciba el problema:</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Look w:val="04A0"/>
      </w:tblPr>
      <w:tblGrid>
        <w:gridCol w:w="3600"/>
        <w:gridCol w:w="3000"/>
        <w:gridCol w:w="2400"/>
      </w:tblGrid>
      <w:tr>
        <w:tc>
          <w:tcPr>
            <w:tcW w:w="3600" w:type="dxa"/>
            <w:shd w:val="clear" w:color="auto" w:fill="1F3864"/>
            <w:vAlign w:val="center"/>
          </w:tcPr>
          <w:p>
            <w:pPr>
              <w:spacing w:after="20"/>
            </w:pPr>
            <w:r>
              <w:rPr>
                <w:b/>
                <w:color w:val="FFFFFF"/>
                <w:sz w:val="19"/>
              </w:rPr>
              <w:t xml:space="preserve">Condición de alerta</w:t>
            </w:r>
          </w:p>
        </w:tc>
        <w:tc>
          <w:tcPr>
            <w:tcW w:w="3000" w:type="dxa"/>
            <w:shd w:val="clear" w:color="auto" w:fill="1F3864"/>
            <w:vAlign w:val="center"/>
          </w:tcPr>
          <w:p>
            <w:pPr>
              <w:spacing w:after="20"/>
            </w:pPr>
            <w:r>
              <w:rPr>
                <w:b/>
                <w:color w:val="FFFFFF"/>
                <w:sz w:val="19"/>
              </w:rPr>
              <w:t xml:space="preserve">Umbral de disparo</w:t>
            </w:r>
          </w:p>
        </w:tc>
        <w:tc>
          <w:tcPr>
            <w:tcW w:w="2400" w:type="dxa"/>
            <w:shd w:val="clear" w:color="auto" w:fill="1F3864"/>
            <w:vAlign w:val="center"/>
          </w:tcPr>
          <w:p>
            <w:pPr>
              <w:spacing w:after="20"/>
            </w:pPr>
            <w:r>
              <w:rPr>
                <w:b/>
                <w:color w:val="FFFFFF"/>
                <w:sz w:val="19"/>
              </w:rPr>
              <w:t xml:space="preserve">Severidad</w:t>
            </w:r>
          </w:p>
        </w:tc>
      </w:tr>
      <w:tr>
        <w:tc>
          <w:tcPr>
            <w:tcW w:w="3600" w:type="dxa"/>
            <w:shd w:val="clear" w:color="auto" w:fill="F2F5FB"/>
          </w:tcPr>
          <w:p>
            <w:pPr>
              <w:spacing w:after="20"/>
            </w:pPr>
            <w:r>
              <w:rPr>
                <w:sz w:val="19"/>
              </w:rPr>
              <w:t xml:space="preserve">Tasa de errores 5xx elevada</w:t>
            </w:r>
          </w:p>
        </w:tc>
        <w:tc>
          <w:tcPr>
            <w:tcW w:w="3000" w:type="dxa"/>
            <w:shd w:val="clear" w:color="auto" w:fill="F2F5FB"/>
          </w:tcPr>
          <w:p>
            <w:pPr>
              <w:spacing w:after="20"/>
            </w:pPr>
            <w:r>
              <w:rPr>
                <w:sz w:val="19"/>
              </w:rPr>
              <w:t xml:space="preserve">&gt; 1 % durante 5 min</w:t>
            </w:r>
          </w:p>
        </w:tc>
        <w:tc>
          <w:tcPr>
            <w:tcW w:w="2400" w:type="dxa"/>
            <w:shd w:val="clear" w:color="auto" w:fill="F2F5FB"/>
          </w:tcPr>
          <w:p>
            <w:pPr>
              <w:spacing w:after="20"/>
            </w:pPr>
            <w:r>
              <w:rPr>
                <w:sz w:val="19"/>
              </w:rPr>
              <w:t xml:space="preserve">Crítica</w:t>
            </w:r>
          </w:p>
        </w:tc>
      </w:tr>
      <w:tr>
        <w:tc>
          <w:tcPr>
            <w:tcW w:w="3600" w:type="dxa"/>
            <w:shd w:val="clear" w:color="auto" w:fill="FFFFFF"/>
          </w:tcPr>
          <w:p>
            <w:pPr>
              <w:spacing w:after="20"/>
            </w:pPr>
            <w:r>
              <w:rPr>
                <w:sz w:val="19"/>
              </w:rPr>
              <w:t xml:space="preserve">Latencia p95 degradada</w:t>
            </w:r>
          </w:p>
        </w:tc>
        <w:tc>
          <w:tcPr>
            <w:tcW w:w="3000" w:type="dxa"/>
            <w:shd w:val="clear" w:color="auto" w:fill="FFFFFF"/>
          </w:tcPr>
          <w:p>
            <w:pPr>
              <w:spacing w:after="20"/>
            </w:pPr>
            <w:r>
              <w:rPr>
                <w:sz w:val="19"/>
              </w:rPr>
              <w:t xml:space="preserve">&gt; 300 ms durante 5 min</w:t>
            </w:r>
          </w:p>
        </w:tc>
        <w:tc>
          <w:tcPr>
            <w:tcW w:w="2400" w:type="dxa"/>
            <w:shd w:val="clear" w:color="auto" w:fill="FFFFFF"/>
          </w:tcPr>
          <w:p>
            <w:pPr>
              <w:spacing w:after="20"/>
            </w:pPr>
            <w:r>
              <w:rPr>
                <w:sz w:val="19"/>
              </w:rPr>
              <w:t xml:space="preserve">Alta</w:t>
            </w:r>
          </w:p>
        </w:tc>
      </w:tr>
      <w:tr>
        <w:tc>
          <w:tcPr>
            <w:tcW w:w="3600" w:type="dxa"/>
            <w:shd w:val="clear" w:color="auto" w:fill="F2F5FB"/>
          </w:tcPr>
          <w:p>
            <w:pPr>
              <w:spacing w:after="20"/>
            </w:pPr>
            <w:r>
              <w:rPr>
                <w:sz w:val="19"/>
              </w:rPr>
              <w:t xml:space="preserve">Servicio caído (health check)</w:t>
            </w:r>
          </w:p>
        </w:tc>
        <w:tc>
          <w:tcPr>
            <w:tcW w:w="3000" w:type="dxa"/>
            <w:shd w:val="clear" w:color="auto" w:fill="F2F5FB"/>
          </w:tcPr>
          <w:p>
            <w:pPr>
              <w:spacing w:after="20"/>
            </w:pPr>
            <w:r>
              <w:rPr>
                <w:sz w:val="19"/>
              </w:rPr>
              <w:t xml:space="preserve">Sin respuesta en 2 chequeos</w:t>
            </w:r>
          </w:p>
        </w:tc>
        <w:tc>
          <w:tcPr>
            <w:tcW w:w="2400" w:type="dxa"/>
            <w:shd w:val="clear" w:color="auto" w:fill="F2F5FB"/>
          </w:tcPr>
          <w:p>
            <w:pPr>
              <w:spacing w:after="20"/>
            </w:pPr>
            <w:r>
              <w:rPr>
                <w:sz w:val="19"/>
              </w:rPr>
              <w:t xml:space="preserve">Crítica</w:t>
            </w:r>
          </w:p>
        </w:tc>
      </w:tr>
      <w:tr>
        <w:tc>
          <w:tcPr>
            <w:tcW w:w="3600" w:type="dxa"/>
            <w:shd w:val="clear" w:color="auto" w:fill="FFFFFF"/>
          </w:tcPr>
          <w:p>
            <w:pPr>
              <w:spacing w:after="20"/>
            </w:pPr>
            <w:r>
              <w:rPr>
                <w:sz w:val="19"/>
              </w:rPr>
              <w:t xml:space="preserve">Uso de CPU sostenido</w:t>
            </w:r>
          </w:p>
        </w:tc>
        <w:tc>
          <w:tcPr>
            <w:tcW w:w="3000" w:type="dxa"/>
            <w:shd w:val="clear" w:color="auto" w:fill="FFFFFF"/>
          </w:tcPr>
          <w:p>
            <w:pPr>
              <w:spacing w:after="20"/>
            </w:pPr>
            <w:r>
              <w:rPr>
                <w:sz w:val="19"/>
              </w:rPr>
              <w:t xml:space="preserve">&gt; 85 % durante 10 min</w:t>
            </w:r>
          </w:p>
        </w:tc>
        <w:tc>
          <w:tcPr>
            <w:tcW w:w="2400" w:type="dxa"/>
            <w:shd w:val="clear" w:color="auto" w:fill="FFFFFF"/>
          </w:tcPr>
          <w:p>
            <w:pPr>
              <w:spacing w:after="20"/>
            </w:pPr>
            <w:r>
              <w:rPr>
                <w:sz w:val="19"/>
              </w:rPr>
              <w:t xml:space="preserve">Media</w:t>
            </w:r>
          </w:p>
        </w:tc>
      </w:tr>
      <w:tr>
        <w:tc>
          <w:tcPr>
            <w:tcW w:w="3600" w:type="dxa"/>
            <w:shd w:val="clear" w:color="auto" w:fill="F2F5FB"/>
          </w:tcPr>
          <w:p>
            <w:pPr>
              <w:spacing w:after="20"/>
            </w:pPr>
            <w:r>
              <w:rPr>
                <w:sz w:val="19"/>
              </w:rPr>
              <w:t xml:space="preserve">Fallos de pago anómalos</w:t>
            </w:r>
          </w:p>
        </w:tc>
        <w:tc>
          <w:tcPr>
            <w:tcW w:w="3000" w:type="dxa"/>
            <w:shd w:val="clear" w:color="auto" w:fill="F2F5FB"/>
          </w:tcPr>
          <w:p>
            <w:pPr>
              <w:spacing w:after="20"/>
            </w:pPr>
            <w:r>
              <w:rPr>
                <w:sz w:val="19"/>
              </w:rPr>
              <w:t xml:space="preserve">&gt; 0,5 % en 15 min</w:t>
            </w:r>
          </w:p>
        </w:tc>
        <w:tc>
          <w:tcPr>
            <w:tcW w:w="2400" w:type="dxa"/>
            <w:shd w:val="clear" w:color="auto" w:fill="F2F5FB"/>
          </w:tcPr>
          <w:p>
            <w:pPr>
              <w:spacing w:after="20"/>
            </w:pPr>
            <w:r>
              <w:rPr>
                <w:sz w:val="19"/>
              </w:rPr>
              <w:t xml:space="preserve">Alta</w:t>
            </w:r>
          </w:p>
        </w:tc>
      </w:tr>
    </w:tbl>
    <w:p>
      <w:pPr>
        <w:spacing w:after="120"/>
      </w:pPr>
    </w:p>
    <w:p>
      <w:pPr>
        <w:spacing w:after="160" w:line="276" w:lineRule="auto"/>
      </w:pPr>
      <w:r>
        <w:rPr>
          <w:b/>
          <w:sz w:val="30"/>
          <w:szCs w:val="30"/>
          <w:color w:val="1F3864"/>
        </w:rPr>
        <w:t xml:space="preserve">Conclusiones</w:t>
      </w:r>
    </w:p>
    <w:p>
      <w:pPr>
        <w:jc w:val="both"/>
        <w:spacing w:after="120" w:line="276" w:lineRule="auto"/>
      </w:pPr>
      <w:r>
        <w:t xml:space="preserve">La incorporación de atributos de calidad sobre la arquitectura de microservicios de la tienda en línea transforma los requerimientos no funcionales de enunciados generales en objetivos medibles y verificables. Definir umbrales de tiempo de respuesta, tasa de errores y latencia, junto con métricas alineadas a ISO/IEC 25010, proporciona criterios objetivos para afirmar que el sistema cumple su contrato de calidad.</w:t>
      </w:r>
    </w:p>
    <w:p>
      <w:pPr>
        <w:jc w:val="both"/>
        <w:spacing w:after="120" w:line="276" w:lineRule="auto"/>
      </w:pPr>
      <w:r>
        <w:t xml:space="preserve">La combinación de análisis estático (SonarQube, Checkstyle), revisión manual, una bitácora trazable de defectos y una estrategia de pruebas con cobertura mínima del 80 % materializa la propuesta de Arangurí (2021) de verificar la calidad mediante casos de prueba trazables al requisito, y refuerza los principios de código claro y comprobable de Joyanes Aguilar (2020). Finalmente, las medidas de seguridad basadas en OWASP y el esquema de observabilidad con dashboards y alertas tempranas cierran el ciclo de aseguramiento de la calidad, garantizando un sistema fiable, seguro y mantenible en operación.</w:t>
      </w:r>
    </w:p>
    <w:p>
      <w:pPr>
        <w:spacing w:after="160" w:line="276" w:lineRule="auto"/>
      </w:pPr>
      <w:r>
        <w:rPr>
          <w:b/>
          <w:sz w:val="30"/>
          <w:szCs w:val="30"/>
          <w:color w:val="1F3864"/>
        </w:rPr>
        <w:t xml:space="preserve">Referencias (APA 7.ª edición)</w:t>
      </w:r>
    </w:p>
    <w:p>
      <w:pPr>
        <w:ind w:left="567" w:hanging="567"/>
        <w:spacing w:after="120" w:line="276" w:lineRule="auto"/>
      </w:pPr>
      <w:r>
        <w:t xml:space="preserve">Arangurí, M. (2021). Teorías relacionadas al tema. En Metodología integral de casos de prueba sustentado en un modelo de verificación de requisitos para desarrollo de software comercial (pp. 22-35) [Tesis de doctorado, Universidad Señor de Sipán].</w:t>
      </w:r>
    </w:p>
    <w:p>
      <w:pPr>
        <w:ind w:left="567" w:hanging="567"/>
        <w:spacing w:after="120" w:line="276" w:lineRule="auto"/>
      </w:pPr>
      <w:r>
        <w:t xml:space="preserve">Evans, E. (2004). Domain-driven design: Tackling complexity in the heart of software. Addison-Wesley.</w:t>
      </w:r>
    </w:p>
    <w:p>
      <w:pPr>
        <w:ind w:left="567" w:hanging="567"/>
        <w:spacing w:after="120" w:line="276" w:lineRule="auto"/>
      </w:pPr>
      <w:r>
        <w:t xml:space="preserve">International Organization for Standardization. (2011). ISO/IEC 25010: Systems and software engineering — Systems and software Quality Requirements and Evaluation (SQuaRE). ISO.</w:t>
      </w:r>
    </w:p>
    <w:p>
      <w:pPr>
        <w:ind w:left="567" w:hanging="567"/>
        <w:spacing w:after="120" w:line="276" w:lineRule="auto"/>
      </w:pPr>
      <w:r>
        <w:t xml:space="preserve">Joyanes Aguilar, L. (2020). Fundamentos de programación: Algoritmos, estructura de datos y objetos. McGraw-Hill.</w:t>
      </w:r>
    </w:p>
    <w:p>
      <w:pPr>
        <w:ind w:left="567" w:hanging="567"/>
        <w:spacing w:after="120" w:line="276" w:lineRule="auto"/>
      </w:pPr>
      <w:r>
        <w:t xml:space="preserve">Newman, S. (2021). Building microservices: Designing fine-grained systems (2.ª ed.). O'Reilly Media.</w:t>
      </w:r>
    </w:p>
    <w:p>
      <w:pPr>
        <w:ind w:left="567" w:hanging="567"/>
        <w:spacing w:after="120" w:line="276" w:lineRule="auto"/>
      </w:pPr>
      <w:r>
        <w:t xml:space="preserve">OWASP Foundation. (2021). OWASP Top 10:2021. https://owasp.org/Top10/</w:t>
      </w:r>
    </w:p>
    <w:p>
      <w:pPr>
        <w:ind w:left="567" w:hanging="567"/>
        <w:spacing w:after="120" w:line="276" w:lineRule="auto"/>
      </w:pPr>
      <w:r>
        <w:t xml:space="preserve">Richardson, C. (2018). Microservices patterns: With examples in Java. Manning Publications.</w:t>
      </w:r>
    </w:p>
    <w:sectPr>
      <w:pgSz w:w="11906" w:h="16838"/>
      <w:pgMar w:top="1418" w:right="1418" w:bottom="1418" w:left="1418"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szCs w:val="22"/>
        <w:lang w:val="es-CO"/>
      </w:rPr>
    </w:r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