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0" w:after="200"/>
        <w:jc w:val="center"/>
        <w:rPr>
          <w:sz w:val="80"/>
          <w:szCs w:val="80"/>
        </w:rPr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A2332"/>
          <w:sz w:val="56"/>
          <w:szCs w:val="56"/>
        </w:rPr>
        <w:t>FRETCORRIDOR</w:t>
      </w:r>
    </w:p>
    <w:p>
      <w:pPr>
        <w:pStyle w:val="Normal"/>
        <w:spacing w:before="0" w:after="80"/>
        <w:jc w:val="center"/>
        <w:rPr/>
      </w:pPr>
      <w:r>
        <w:rPr>
          <w:color w:val="6B7280"/>
          <w:sz w:val="28"/>
          <w:szCs w:val="28"/>
        </w:rPr>
        <w:t>Plan d'exécution du projet</w:t>
      </w:r>
    </w:p>
    <w:p>
      <w:pPr>
        <w:pStyle w:val="Normal"/>
        <w:spacing w:before="0" w:after="80"/>
        <w:jc w:val="center"/>
        <w:rPr/>
      </w:pPr>
      <w:r>
        <w:rPr>
          <w:color w:val="6B7280"/>
          <w:sz w:val="22"/>
          <w:szCs w:val="22"/>
        </w:rPr>
        <w:t>Application mobile · Web · Back-end</w:t>
      </w:r>
    </w:p>
    <w:p>
      <w:pPr>
        <w:pStyle w:val="Normal"/>
        <w:spacing w:before="0" w:after="600"/>
        <w:jc w:val="center"/>
        <w:rPr/>
      </w:pPr>
      <w:r>
        <w:rPr>
          <w:color w:val="9CA3AF"/>
          <w:sz w:val="20"/>
          <w:szCs w:val="20"/>
        </w:rPr>
        <w:t>Référence CDC : FSE-CDC-FRETCORRIDOR-2026-003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99"/>
        <w:gridCol w:w="6700"/>
      </w:tblGrid>
      <w:tr>
        <w:trPr>
          <w:tblHeader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Champ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Valeur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Projet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FretCorridor v3.0 — Réseau logistique numérique CEMAC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Stack technique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Spring Boot · Flutter · Angular · PostgreSQL · Redis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Date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Juillet 2026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1. Stack technique retenue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 xml:space="preserve">La stack technique s'aligne sur le CDC v3.0 avec adaptation du back-end en Spring Boot (Java), technologie </w:t>
      </w:r>
      <w:r>
        <w:rPr>
          <w:color w:val="374151"/>
          <w:sz w:val="22"/>
          <w:szCs w:val="22"/>
        </w:rPr>
        <w:t>conseillée en</w:t>
      </w:r>
      <w:r>
        <w:rPr>
          <w:color w:val="374151"/>
          <w:sz w:val="22"/>
          <w:szCs w:val="22"/>
        </w:rPr>
        <w:t xml:space="preserve"> remplacement de Go.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99"/>
        <w:gridCol w:w="2801"/>
        <w:gridCol w:w="360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Back-end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Spring Boot (Java 21)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Services métier, APIs REST, logique business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Base de données principale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PostgreSQL + PostGIS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Données relationnelles + géospatiales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Cache &amp; verrous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Redis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Cache, files de synchro, verrous distribués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Bus d'événements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Kafka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Synchronisation asynchrone entre services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Mobile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Flutter (Dart)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Application chauffeur &amp; agent (offline-first)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Web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Angular (PWA)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chargeur, portail bureau de fret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Stockage fichiers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MinIO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Justificatifs KYC, preuves de livraison (POD)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Paiements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MTN MoMo + Orange Money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Reversement chauffeurs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Cartographie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OSRM / OpenStreetMap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Calcul de routes et ETA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Notifications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Firebase FCM + WhatsApp BSP + SMS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Alertes multicanal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2. Mise en place de l'environnement de travail</w:t>
      </w:r>
    </w:p>
    <w:p>
      <w:pPr>
        <w:pStyle w:val="Heading2"/>
        <w:spacing w:before="300" w:after="100"/>
        <w:rPr/>
      </w:pPr>
      <w:r>
        <w:rPr/>
        <w:t>2.1 Outils de développement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99"/>
        <w:gridCol w:w="4201"/>
        <w:gridCol w:w="2500"/>
      </w:tblGrid>
      <w:tr>
        <w:trPr>
          <w:tblHeader w:val="true"/>
        </w:trPr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Outil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Version recommandée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IntelliJ IDEA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Développement Spring Boot (back-end)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2024+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VS Code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Angular + Flutter (ou Android Studio pour Flutter)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Dernière stable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Android Studio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Développement et émulation Flutter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Hedgehog+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Docker Desktop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Lancer PostgreSQL, Redis, Kafka en local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Dernière stable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Postman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Tester les APIs REST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Dernière stable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Git + GitHub/GitLab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Versionnement du code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DBeaver</w:t>
            </w:r>
          </w:p>
        </w:tc>
        <w:tc>
          <w:tcPr>
            <w:tcW w:w="4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Visualiser la base de données PostgreSQL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Dernière stable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2.2 Configuration Docker locale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L'environnement local complet se lance via Docker Compose. Il comprend PostgreSQL avec l'extension PostGIS activée, Redis, et Kafka.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E40AF"/>
                <w:sz w:val="22"/>
                <w:szCs w:val="22"/>
              </w:rPr>
              <w:t>Services Docker à lancer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PostgreSQL 16 + PostGIS · Redis 7 · Kafka (avec Zookeeper) · MinIO. Un fichier docker-compose.yml unique démarre tout l'environnement en une seule commande.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2.3 Structure des dépôts Git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99"/>
        <w:gridCol w:w="4000"/>
        <w:gridCol w:w="2401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Dépôt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Contenu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fretcorridor-backend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APIs REST, logique métier, modèle de données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Spring Boot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fretcorridor-mobile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Application chauffeur &amp; agent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Flutter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fretcorridor-web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chargeur + portail bureau de fret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Angular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3. Modèle de données — Entités clés (MCD)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Le modèle de données est extrait du §10 du CDC v3.0. Il constitue le fondement de toute l'architecture. Chaque entité correspond à une table PostgreSQL.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3.1 Entités principales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3801"/>
        <w:gridCol w:w="320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Entité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Relations clés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Bureau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Bureau de fret client (BGFT, BNFT, BARC, Congo)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Bureau → N Axe, 1-1 Tenant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Tenant / Licence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Espace isolé par bureau : périmètre, durée, quotas, axes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Tenant → N Acteur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Corridor / Axe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Axe de transport avec état d'activation et règles tarifaires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Axe → N Hub, 1 Axe → N Mission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Région / Hub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Nœud du réseau (ville ou plateforme logistique)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 Hub ↔ N Axe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Acteur / Utilisateur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Transporteur, Chauffeur, Agent, Chargeur, Opérateur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 Acteur → 1 Tenant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Camion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Véhicule : capacité, type, statut opérationnel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 Camion → 1 Transporteur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Mission (Trip)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Affectation d'un camion à un fret sur un axe donné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N-1 Axe, N-1 Camion, 1-N Position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OffreFret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Besoin de transport publié par un chargeur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N-1 Chargeur, N-1 Axe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Position / Track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Point GPS horodaté capturé par l'app chauffeur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N-1 Mission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AvanceCarburant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Avance instruite par le partenaire bancaire (Phase 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N-1 Mission, N-1 Partenaire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Paiement / Ledger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Encaissement, reversement, commission (partie double)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N-1 Mission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JournalAudit</w:t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Trace inviolable de toutes les actions sensibles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réf. Tenant + Acteur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3.2 Diagramme UML — Relations entre entités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Les relations entre entités suivent ce schéma de haut niveau :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799"/>
        <w:gridCol w:w="1801"/>
        <w:gridCol w:w="4600"/>
      </w:tblGrid>
      <w:tr>
        <w:trPr>
          <w:tblHeader w:val="true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Relation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Cardinalité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Bureau → Tenant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Chaque bureau a un espace isolé (tenant)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Bureau → Axe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 bureau couvre plusieurs axes de transport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Axe → Hub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 axe relie plusieurs hubs (villes)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Axe → Mission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Toute mission est rattachée à un axe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Tenant → Acteur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Tous les utilisateurs appartiennent à un tenant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Acteur → Camion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 transporteur possède plusieurs camions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Mission → Position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Une mission génère des centaines de positions GPS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Mission → Paiement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N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Une mission peut avoir plusieurs transactions</w:t>
            </w:r>
          </w:p>
        </w:tc>
      </w:tr>
      <w:tr>
        <w:trPr/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Mission → AvanceCarburant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1 - 0/1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Optionnel, Phase 3 uniquement</w:t>
            </w:r>
          </w:p>
        </w:tc>
      </w:tr>
    </w:tbl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4. Architecture de l'API REST</w:t>
      </w:r>
    </w:p>
    <w:p>
      <w:pPr>
        <w:pStyle w:val="Heading2"/>
        <w:spacing w:before="300" w:after="100"/>
        <w:rPr/>
      </w:pPr>
      <w:r>
        <w:rPr/>
        <w:t>4.1 Principes</w:t>
      </w:r>
    </w:p>
    <w:p>
      <w:pPr>
        <w:pStyle w:val="ListParagraph"/>
        <w:numPr>
          <w:ilvl w:val="0"/>
          <w:numId w:val="3"/>
        </w:numPr>
        <w:spacing w:before="0" w:after="70"/>
        <w:rPr/>
      </w:pPr>
      <w:r>
        <w:rPr>
          <w:color w:val="374151"/>
          <w:sz w:val="21"/>
          <w:szCs w:val="21"/>
        </w:rPr>
        <w:t>Chaque module fonctionnel correspond à un groupe d'endpoints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374151"/>
          <w:sz w:val="21"/>
          <w:szCs w:val="21"/>
        </w:rPr>
        <w:t>Toutes les requêtes sont authentifiées via JWT (sauf /auth/login)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374151"/>
          <w:sz w:val="21"/>
          <w:szCs w:val="21"/>
        </w:rPr>
        <w:t>Le tenant est identifié automatiquement depuis le token JWT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374151"/>
          <w:sz w:val="21"/>
          <w:szCs w:val="21"/>
        </w:rPr>
        <w:t>Les réponses sont en JSON, les erreurs suivent le format RFC 7807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color w:val="374151"/>
          <w:sz w:val="21"/>
          <w:szCs w:val="21"/>
        </w:rPr>
        <w:t>L'idempotence est garantie via un header X-Idempotency-Key sur les mutations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4.2 Endpoints par module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199"/>
        <w:gridCol w:w="1101"/>
        <w:gridCol w:w="3199"/>
        <w:gridCol w:w="3700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Méthode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Auth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/api/auth/login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Connexion par téléphone + PIN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Auth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/api/auth/refresh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Renouveler le token JWT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IDA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/api/chauffeurs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Enrôler un nouveau chauffeur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IDA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/api/chauffeurs/{id}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Profil d'un chauffeur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IDA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/api/kyc/documents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Upload justificatif KYC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/api/axes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Liste des axes disponibles (par tenant)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/api/axes/{id}/statut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État d'activation d'un axe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MKT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/api/missions/declare-vide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Déclarer un camion vide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MKT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/api/missions/matchs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Voir les matchs disponibles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MKT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/api/missions/{id}/accepter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Accepter une mission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TRK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/api/positions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Envoyer des positions GPS (batch)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TRK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/api/missions/{id}/tracking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Tracking en temps réel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TRK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/api/missions/{id}/eta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ETA dynamique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NOT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/api/notifications/send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Envoyer une notification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NOT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/api/notifications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Liste des notifications d'un acteur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PAY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/api/paiements/solde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Solde chauffeur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PAY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/api/paiements/historique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Historique des transactions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OPS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/api/admin/chauffeurs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Liste chauffeurs (agent)</w:t>
            </w:r>
          </w:p>
        </w:tc>
      </w:tr>
      <w:tr>
        <w:trPr/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OPS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PUT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/api/admin/kyc/{id}/valider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Valider un dossier KYC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5. Modules fonctionnels par phase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Les 10 modules du CDC sont répartis en 3 phases selon leur priorité, leur complexité et leurs dépendances. Les exigences MoSCoW (M = Must, S = Should, C = Could) du CDC sont respectées.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5.1 MVP — Phase 1 (modules prioritaires)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DF4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🟢  </w:t>
            </w:r>
            <w:r>
              <w:rPr>
                <w:b/>
                <w:bCs/>
                <w:color w:val="166534"/>
                <w:sz w:val="22"/>
                <w:szCs w:val="22"/>
              </w:rPr>
              <w:t>Objectif MVP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Avoir une plateforme fonctionnelle sur le corridor ancre (Douala–N'Djamena + épine Nord) avec visibilité, tracking, KYC et notifications. Premiers revenus de licence BGFT.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GEO — Réseau &amp; Corridors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EF-GEO-01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Modéliser Corridor/Axe et Région/Hub comme entités de premier rang, rattacher toute Mission à un axe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EF-GEO-02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Paramétrer par axe : routing, ETA, seuils d'anomalie, règles tarifaires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EF-GEO-03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Gérer un état d'activation par axe (visibilité / matching / financement)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EF-GEO-04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Surcouche de risque sécuritaire par segment : marquage zone sensible, restriction opérations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EF-GEO-05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Conscience intermodale (rail) sur les axes concernés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IDA — Identité, KYC &amp; Agents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EF-IDA-01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Enregistrement des profils : Transporteur, Chauffeur, Agent, Chargeur avec justificatifs sécurisés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EF-IDA-02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KYC léger gradué : niveau 1 identité/contact, niveau 2 justificatifs avant fonctions financières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EF-IDA-03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Enrôlement par agent (super-agent issu des coxeurs) avec rattachement des chauffeurs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EF-IDA-04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RBAC distinct par type d'acteur, par module, par tenant et par pays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EF-IDA-05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Journal d'audit de toute modification de profil et de tout consentement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MKT — Marketplace &amp; Matching backhaul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EF-MKT-01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Déclaration camion vide (position, type/capacité, disponibilité) via app, WhatsApp ou USSD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EF-MKT-02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Le matching ne s'active que sur les axes dont l'état GEO l'autorise — jamais globalement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EF-MKT-03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Scoring de pertinence besoin ↔ camion par axe (proximité PostGIS, compatibilité, fiabilité)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EF-MKT-04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 intra-camerounais : pas de quota nationalité. En transfrontalier : respecter la répartition conventionnelle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EF-MKT-05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Prévention de la double affectation (verrou applicatif, idempotence)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TRK — Tracking &amp; ETA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EF-TRK-01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Ingestion de positions horodatées, tolérante à la connectivité intermittente (file + synchro différée)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EF-TRK-02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ETA dynamique par axe (route, arrêts observés, délais historiques par tronçon)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EF-TRK-03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Détection d'anomalies (arrêt prolongé, écart d'itinéraire) ; traitement renforcé en zone sensible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EF-TRK-04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Carte et chronologie de mission pour chargeur et portail bureau avec alertes paramétrables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EF-TRK-05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Analytique de corridor agrégée par axe, valorisable auprès des bureaux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NOT — Notifications multicanal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EF-NOT-01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Notifications transactionnelles via WhatsApp, SMS, USSD selon disponibilité/préférence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EF-NOT-02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Privilégier la fenêtre WhatsApp 24h (gratuite) ; templates payants réservés aux événements à forte valeur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EF-NOT-03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Repli automatique inter-canaux et déduplication ; contenu bilingue FR/EN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OPS — Back-office &amp; Support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EF-OPS-01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Gestion des comptes, modération KYC, support, incidents — par tenant et par axe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EF-OPS-02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Supervision opérationnelle (missions, anomalies, file de notifications, coûts) avec vue par axe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EF-OPS-03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Journal d'audit consultable et exportable pour les actions sensibles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5.2 Phase 2 — Matching actif + Paiements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BEB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🟡  </w:t>
            </w:r>
            <w:r>
              <w:rPr>
                <w:b/>
                <w:bCs/>
                <w:color w:val="92400E"/>
                <w:sz w:val="22"/>
                <w:szCs w:val="22"/>
              </w:rPr>
              <w:t>Objectif Phase 2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Activer le matching backhaul sur l'axe le plus dense, intégrer les paiements Mobile Money, et répliquer la plateforme à un 2e bureau (BNFT Tchad).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PAY — Paiements &amp; Règlement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EF-PAY-01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Encaissement/versement via Mobile Money (MTN, Orange) avec rapprochement et gestion des échecs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EF-PAY-02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Grand livre en partie double (ledger) ; séquestre logique (escrow) par mission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INT — Interopérabilité &amp; Portail Partenaire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EF-INT-01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Architecture multi-tenant servant plusieurs bureaux (marque blanche) avec isolation stricte par pays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EF-INT-02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partenaire par bureau (BGFT, BNFT, BARC) : dashboards, analytique, administration du tenant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EF-INT-03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API d'échange avec Landfreightis/Sigfret et équivalents, fonctionnant en mode dégradé si partiel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EF-INT-04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Référentiel de licences (périmètre, durée, quotas, axes couverts) et facturation par tenant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EF-INT-05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Valeur autonome garantie sans API d'État — l'interopérabilité enrichit, ne bloque jamais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r>
        <w:rPr/>
        <w:t>5.3 Phase 3 — Financement + Conformité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EF2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🔴  </w:t>
            </w:r>
            <w:r>
              <w:rPr>
                <w:b/>
                <w:bCs/>
                <w:color w:val="991B1B"/>
                <w:sz w:val="22"/>
                <w:szCs w:val="22"/>
              </w:rPr>
              <w:t>Objectif Phase 3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Activer le financement carburant via un partenaire bancaire agréé COBAC sur un axe maîtrisé. Produire les rapports de conformité pour les grands comptes.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FIN — Financement carburant (cloisonné)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000"/>
        <w:gridCol w:w="2800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EF-FIN-01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Octroi instruit et décidé par un partenaire agréé (EMF/banque) ; FretCorridor apporteur de données uniquement. Activé axe par axe.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 (Ph.3)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EF-FIN-02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Déboursement vers carte carburant ou Mobile Money dédié, jamais en numéraire libre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 (Ph.3)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EF-FIN-03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Remboursement adossé au paiement chargeur (via PAY) ; comptabilité strictement séparée (ring-fencing)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 (Ph.3)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200" w:after="80"/>
        <w:rPr/>
      </w:pPr>
      <w:r>
        <w:rPr/>
        <w:t>Module CMP — Conformité, Reporting &amp; Interopérabilité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57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Priorité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EF-CMP-01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Tableaux de bord et exports (PDF/Excel) de suivi et de conformité pour grands comptes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Must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EF-CMP-02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Rapprochement mission ↔ pièce réglementaire en distinguant LVO intérieure et LVI selon pays/axe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EF-CMP-03</w:t>
            </w:r>
          </w:p>
        </w:tc>
        <w:tc>
          <w:tcPr>
            <w:tcW w:w="5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Adaptation par juridiction des règles de conformité et des barèmes (configurable, sans codage en dur)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Should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6. Exigences non fonctionnelles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Les exigences non fonctionnelles s'appliquent transversalement à tous les modules. Elles définissent comment le système doit se comporter, pas ce qu'il fait.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6.1 Performance et connectivité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4799"/>
        <w:gridCol w:w="3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Cible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ENF-PRF-01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Temps de réponse des opérations critiques (tracking, login, déclaration)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&lt; 2 secondes en P95 sur 3G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ENF-OFF-01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Application chauffeur offline-first : capture locale + synchronisation idempotente au retour réseau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0 perte de données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ENF-DIS-01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Disponibilité du back-end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 xml:space="preserve">≥ </w:t>
            </w:r>
            <w:r>
              <w:rPr>
                <w:color w:val="374151"/>
                <w:sz w:val="20"/>
                <w:szCs w:val="20"/>
              </w:rPr>
              <w:t>99,5% · RPO ≤ 24h · RTO ≤ 4h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6.2 Sécurité et gouvernance des données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4799"/>
        <w:gridCol w:w="3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ENF-SEC-01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Chiffrement en transit et au repos ; authentification forte back-office ; moindre privilège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TLS 1.3 obligatoire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ENF-SEC-02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Idempotence et signatures des webhooks ; journal d'audit inviolable (append-only) pour actions financières et KYC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UUID par requête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ENF-SEC-03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Données GPS en zone sensible : accès restreint, rétention minimale, traçabilité renforcée des consultations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Zones NO/SO + Extrême-Nord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6.3 Multi-tenant, multi-pays, scalabilité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4799"/>
        <w:gridCol w:w="3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ENF-MUL-01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Isolation stricte des données entre tenants et entre pays ; aucune fuite inter-tenant vérifiée par tests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Tests automatisés obligatoires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ENF-RES-01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Capacité à localiser les données d'un tenant public sur infrastructure nationale si exigé (souveraineté)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Architecture marque blanche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ENF-SCA-01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Services découplés ; le tracking monte en charge indépendamment ; observabilité complète avec alerting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Kafka + métriques SLO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6.4 Internationalisation et exploitation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00"/>
        <w:gridCol w:w="4799"/>
        <w:gridCol w:w="3001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Ref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Exigence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ENF-I18N-01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Interfaces et notifications bilingues FR/EN ; formats locaux (FCFA, dates) ; configuration par pays/axe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i18n dès le début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ENF-OPS-01</w:t>
            </w:r>
          </w:p>
        </w:tc>
        <w:tc>
          <w:tcPr>
            <w:tcW w:w="4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Déploiement reproductible (IaC), environnements séparés (dev/staging/prod), CI/CD avec tests automatisés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Docker + GitHub Actions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7. Plan de développement — Sprints</w:t>
      </w:r>
    </w:p>
    <w:p>
      <w:pPr>
        <w:pStyle w:val="Normal"/>
        <w:spacing w:before="0" w:after="120"/>
        <w:rPr/>
      </w:pPr>
      <w:r>
        <w:rPr>
          <w:color w:val="374151"/>
          <w:sz w:val="22"/>
          <w:szCs w:val="22"/>
        </w:rPr>
        <w:t>Chaque sprint dure 2 semaines et livre une fonctionnalité complète de bout en bout (back-end + mobile + web). L'ordre respecte les dépendances entre modules.</w:t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FF6FF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E40AF"/>
                <w:sz w:val="22"/>
                <w:szCs w:val="22"/>
              </w:rPr>
              <w:t xml:space="preserve">📌  </w:t>
            </w:r>
            <w:r>
              <w:rPr>
                <w:b/>
                <w:bCs/>
                <w:color w:val="1E40AF"/>
                <w:sz w:val="22"/>
                <w:szCs w:val="22"/>
              </w:rPr>
              <w:t>Principe des sprints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Un sprint = une fonctionnalité complète. À la fin de chaque sprint, il doit être possible de tester la fonctionnalité de bout en bout : l'API répond, le mobile affiche, le web affiche.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Phase 1 — MVP (Sprints 1 à 8)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2200"/>
        <w:gridCol w:w="2400"/>
        <w:gridCol w:w="1999"/>
        <w:gridCol w:w="1801"/>
      </w:tblGrid>
      <w:tr>
        <w:trPr>
          <w:tblHeader w:val="true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Back-end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Mobile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Authentification &amp; sécurité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 /auth/login, JWT, RBAC de base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Écran connexion (téléphone + PIN)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Page login Angular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Profils &amp; KYC niveau 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Entités Acteur/Chauffeur/Agent, upload MinIO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Formulaire enrôlement chauffeur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Dashboard agent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Réseau &amp; Axes (GEO)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Entités Axe/Hub/Bureau, états d'activation, zones sensibles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Écran axes disponibles, verrous visibles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Carte des corridors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Déclaration camion vide (MKT)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 /missions/declare-vide, file Redis, idempotence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Formulaire déclaration offline-first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Vue chargeur — offres disponibles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Tracking GPS (TRK)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POST /positions batch, calcul ETA, détection anomalies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Service GPS arrière-plan, synchro offline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Carte de suivi temps réel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Mission complète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GET /missions, acceptation, flux complet A→Z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Écran mission en cours, étapes corridor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Dashboard bureau de fret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Notifications (NOT)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Service FCM + WhatsApp BSP + SMS, repli inter-canaux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Réception push + liste notifications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Centre de notifications web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Back-office &amp; KYC niveau 2 (OPS)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Validation KYC, journal audit, supervision missions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Interface agent complète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admin bureau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Phase 2 — Matching + Paiements (Sprints 9 à 12)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2200"/>
        <w:gridCol w:w="2400"/>
        <w:gridCol w:w="1999"/>
        <w:gridCol w:w="1801"/>
      </w:tblGrid>
      <w:tr>
        <w:trPr>
          <w:tblHeader w:val="true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Back-end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Mobile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Matching backhaul (MKT actif)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Algorithme PostGIS, scoring, activation par axe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Écran matchs disponibles, acceptation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Vue matchs — portail bureau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Paiements Mobile Money (PAY)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MTN MoMo + Orange API, gestion échecs, ledger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Solde et historique transactions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Rapport financier bureau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partenaire multi-tenant (INT)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Multi-tenant étanche, portail par bureau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Config tenant au login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Portail BGFT / BNFT distinct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Analytique &amp; Reporting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Agrégats par axe, exports PDF/Excel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Tableaux de bord grands comptes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300" w:after="100"/>
        <w:rPr/>
      </w:pPr>
      <w:r>
        <w:rPr/>
        <w:t>Phase 3 — Financement + Conformité (Sprints 13 à 15)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800"/>
        <w:gridCol w:w="2200"/>
        <w:gridCol w:w="2400"/>
        <w:gridCol w:w="1999"/>
        <w:gridCol w:w="1801"/>
      </w:tblGrid>
      <w:tr>
        <w:trPr>
          <w:tblHeader w:val="true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Back-end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Mobile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Web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Financement carburant (FIN)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Module FIN cloisonné, ring-fencing, API partenaire bancaire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Demande d'avance (si éligible)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Suivi avances — portail bureau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Conformité multi-juridiction (CMP)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Rapprochement LVO/LVI, règles par pays configurables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Exports conformité grands comptes</w:t>
            </w:r>
          </w:p>
        </w:tc>
      </w:tr>
      <w:tr>
        <w:trPr/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Intermodalité rail (GEO-05)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Intégration Camrail, conscience rail/route sur axe Nord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Affichage option rail dans la mission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Option intermodale — portail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8" w:space="0" w:color="F59E0B"/>
        </w:pBdr>
        <w:spacing w:before="0" w:after="140"/>
        <w:rPr/>
      </w:pPr>
      <w:r>
        <w:rPr/>
        <w:t>8. Récapitulatif — Vue d'ensemble</w:t>
      </w:r>
    </w:p>
    <w:tbl>
      <w:tblPr>
        <w:tblW w:w="92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99"/>
        <w:gridCol w:w="2801"/>
        <w:gridCol w:w="1300"/>
        <w:gridCol w:w="1799"/>
        <w:gridCol w:w="1801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Modules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Sprints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A2332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0"/>
                <w:szCs w:val="20"/>
              </w:rPr>
              <w:t>Livrable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MVP — Phase 1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GEO · IDA · MKT · TRK · NOT · OPS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 → S8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16 semaines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Plateforme fonctionnelle corridor ancre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Phase 2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PAY · INT (+ MKT actif)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S9 → S12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8 semaines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4F6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Matching actif + paiements + 2e bureau</w:t>
            </w:r>
          </w:p>
        </w:tc>
      </w:tr>
      <w:tr>
        <w:trPr/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Phase 3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FIN · CMP · GEO-05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S13 → S15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6 semaines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Financement carburant + conformité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/>
      </w:r>
    </w:p>
    <w:tbl>
      <w:tblPr>
        <w:tblW w:w="9200" w:type="dxa"/>
        <w:jc w:val="left"/>
        <w:tblInd w:w="0" w:type="dxa"/>
        <w:tblLayout w:type="fixed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200"/>
      </w:tblGrid>
      <w:tr>
        <w:trPr/>
        <w:tc>
          <w:tcPr>
            <w:tcW w:w="9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DF4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🎯  </w:t>
            </w:r>
            <w:r>
              <w:rPr>
                <w:b/>
                <w:bCs/>
                <w:color w:val="166534"/>
                <w:sz w:val="22"/>
                <w:szCs w:val="22"/>
              </w:rPr>
              <w:t>Principe de développement</w:t>
            </w:r>
          </w:p>
          <w:p>
            <w:pPr>
              <w:pStyle w:val="Normal"/>
              <w:rPr/>
            </w:pPr>
            <w:r>
              <w:rPr>
                <w:color w:val="374151"/>
                <w:sz w:val="20"/>
                <w:szCs w:val="20"/>
              </w:rPr>
              <w:t>Back-end d'abord sur chaque sprint, puis mobile et web en parallèle. À la fin de chaque sprint, la fonctionnalité est testée de bout en bout avant de passer au sprint suivant.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1080" w:gutter="0" w:header="0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280"/>
        <w:sz w:val="18"/>
        <w:szCs w:val="18"/>
      </w:rPr>
      <w:t xml:space="preserve">FretCorridor · Plan d'exécution du projet 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6B7280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6B7280"/>
        <w:sz w:val="18"/>
        <w:szCs w:val="18"/>
      </w:rPr>
      <w:t xml:space="preserve">FretCorridor · Plan d'exécution du projet ·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6B7280"/>
        <w:sz w:val="18"/>
        <w:szCs w:val="18"/>
      </w:rPr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Heading1">
    <w:name w:val="Heading 1"/>
    <w:basedOn w:val="Heading"/>
    <w:qFormat/>
    <w:pPr/>
    <w:rPr>
      <w:b/>
      <w:bCs/>
      <w:color w:val="1A2332"/>
      <w:sz w:val="34"/>
      <w:szCs w:val="34"/>
    </w:rPr>
  </w:style>
  <w:style w:type="paragraph" w:styleId="Heading2">
    <w:name w:val="Heading 2"/>
    <w:basedOn w:val="Heading"/>
    <w:qFormat/>
    <w:pPr/>
    <w:rPr>
      <w:b/>
      <w:bCs/>
      <w:color w:val="1F2937"/>
      <w:sz w:val="27"/>
      <w:szCs w:val="27"/>
    </w:rPr>
  </w:style>
  <w:style w:type="paragraph" w:styleId="Heading3">
    <w:name w:val="Heading 3"/>
    <w:basedOn w:val="Heading"/>
    <w:qFormat/>
    <w:pPr/>
    <w:rPr>
      <w:b/>
      <w:bCs/>
      <w:color w:val="F59E0B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fr-F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LibreOffice/24.2.7.2$Linux_X86_64 LibreOffice_project/420$Build-2</Application>
  <AppVersion>15.0000</AppVersion>
  <Pages>13</Pages>
  <Words>2370</Words>
  <Characters>14153</Characters>
  <CharactersWithSpaces>15962</CharactersWithSpaces>
  <Paragraphs>592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2026-07-02T12:37:13Z</dcterms:created>
  <dc:creator>Un-named</dc:creator>
  <dc:description/>
  <dc:language>fr-FR</dc:language>
  <cp:lastModifiedBy/>
  <dcterms:modified xsi:type="dcterms:W3CDTF">2026-07-02T15:09:02Z</dcterms:modified>
  <cp:revision>4</cp:revision>
  <dc:subject/>
  <dc:title/>
</cp:coreProperties>
</file>