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w:t>
      </w:r>
      <w:r>
        <w:t xml:space="preserve"> </w:t>
      </w:r>
      <w:r>
        <w:t xml:space="preserve">Catalyst</w:t>
      </w:r>
      <w:r>
        <w:t xml:space="preserve"> </w:t>
      </w:r>
      <w:r>
        <w:t xml:space="preserve">Analysis</w:t>
      </w:r>
    </w:p>
    <w:p>
      <w:pPr>
        <w:pStyle w:val="Subtitle"/>
      </w:pPr>
      <w:r>
        <w:t xml:space="preserve">CRWV</w:t>
      </w:r>
      <w:r>
        <w:t xml:space="preserve"> </w:t>
      </w:r>
      <w:r>
        <w:t xml:space="preserve">ORCL</w:t>
      </w:r>
      <w:r>
        <w:t xml:space="preserve"> </w:t>
      </w:r>
      <w:r>
        <w:t xml:space="preserve">APLD</w:t>
      </w:r>
      <w:r>
        <w:t xml:space="preserve"> </w:t>
      </w:r>
      <w:r>
        <w:t xml:space="preserve">IREN</w:t>
      </w:r>
      <w:r>
        <w:t xml:space="preserve"> </w:t>
      </w:r>
      <w:r>
        <w:t xml:space="preserve">NBIS</w:t>
      </w:r>
      <w:r>
        <w:t xml:space="preserve"> </w:t>
      </w:r>
      <w:r>
        <w:t xml:space="preserve">CLS</w:t>
      </w:r>
      <w:r>
        <w:t xml:space="preserve"> </w:t>
      </w:r>
      <w:r>
        <w:t xml:space="preserve">SNDK</w:t>
      </w:r>
    </w:p>
    <w:p>
      <w:pPr>
        <w:pStyle w:val="Author"/>
      </w:pPr>
      <w:r>
        <w:t xml:space="preserve">Catalyst</w:t>
      </w:r>
      <w:r>
        <w:t xml:space="preserve"> </w:t>
      </w:r>
      <w:r>
        <w:t xml:space="preserve">Analyst</w:t>
      </w:r>
    </w:p>
    <w:p>
      <w:pPr>
        <w:pStyle w:val="Date"/>
      </w:pPr>
      <w:r>
        <w:t xml:space="preserve">As</w:t>
      </w:r>
      <w:r>
        <w:t xml:space="preserve"> </w:t>
      </w:r>
      <w:r>
        <w:t xml:space="preserve">of</w:t>
      </w:r>
      <w:r>
        <w:t xml:space="preserve"> </w:t>
      </w:r>
      <w:r>
        <w:t xml:space="preserve">October</w:t>
      </w:r>
      <w:r>
        <w:t xml:space="preserve"> </w:t>
      </w:r>
      <w:r>
        <w:t xml:space="preserve">1,</w:t>
      </w:r>
      <w:r>
        <w:t xml:space="preserve"> </w:t>
      </w:r>
      <w:r>
        <w:t xml:space="preserve">2026</w:t>
      </w:r>
      <w:r>
        <w:t xml:space="preserve"> </w:t>
      </w:r>
      <w:r>
        <w:t xml:space="preserve">|</w:t>
      </w:r>
      <w:r>
        <w:t xml:space="preserve"> </w:t>
      </w:r>
      <w:r>
        <w:t xml:space="preserve">USD</w:t>
      </w:r>
      <w:r>
        <w:t xml:space="preserve"> </w:t>
      </w:r>
      <w:r>
        <w:t xml:space="preserve">unless</w:t>
      </w:r>
      <w:r>
        <w:t xml:space="preserve"> </w:t>
      </w:r>
      <w:r>
        <w:t xml:space="preserve">stated</w:t>
      </w:r>
      <w:r>
        <w:t xml:space="preserve"> </w:t>
      </w:r>
      <w:r>
        <w:t xml:space="preserve">otherwise</w:t>
      </w:r>
    </w:p>
    <w:bookmarkStart w:id="22" w:name="purpose-and-conclusion"/>
    <w:p>
      <w:pPr>
        <w:pStyle w:val="Heading1"/>
        <w:keepNext/>
      </w:pPr>
      <w:r>
        <w:t xml:space="preserve">Purpose and conclusion</w:t>
      </w:r>
    </w:p>
    <w:p>
      <w:pPr>
        <w:pStyle w:val="FirstParagraph"/>
      </w:pPr>
      <w:r>
        <w:t xml:space="preserve">This report converts the authoritative September 30 valuation and execution-risk record into a time-bounded catalyst map. The decisive events are not announcements of power, backlog, or long-range targets. They are customer acceptance, service availability, revenue recognition, margin durability, and evidence that financing obligations are covered by asset-level economics.</w:t>
      </w:r>
    </w:p>
    <w:p>
      <w:pPr>
        <w:pStyle w:val="BodyText"/>
      </w:pPr>
      <w:r>
        <w:t xml:space="preserve">The nearest high-information events are SNDK FQ1 results on October 29, CLS Q3 results and investor day on October 27, and APLD Q1 results on October 7. Across the medium term, APLD and IREN acceptance, NBIS site-level operating disclosure, and the CRWV and ORCL cash-return bridge have the greatest ability to change valuation confidence. This report does not provide investment recommendations.</w:t>
      </w:r>
    </w:p>
    <w:bookmarkStart w:id="20" w:name="controlling-definitions"/>
    <w:p>
      <w:pPr>
        <w:pStyle w:val="Heading2"/>
        <w:keepNext/>
      </w:pPr>
      <w:r>
        <w:t xml:space="preserve">Controlling definitions</w:t>
      </w:r>
    </w:p>
    <w:p>
      <w:pPr>
        <w:numPr>
          <w:ilvl w:val="0"/>
          <w:numId w:val="1001"/>
        </w:numPr>
        <w:pStyle w:val="Compact"/>
      </w:pPr>
      <w:r>
        <w:t xml:space="preserve">Valuation uses fully diluted enterprise value. Conventional EV materially understates CRWV and ORCL infrastructure obligations.</w:t>
      </w:r>
    </w:p>
    <w:p>
      <w:pPr>
        <w:numPr>
          <w:ilvl w:val="0"/>
          <w:numId w:val="1001"/>
        </w:numPr>
        <w:pStyle w:val="Compact"/>
      </w:pPr>
      <w:r>
        <w:t xml:space="preserve">Only customer-accepted, revenue-producing MW counts as current revenue. Contracted, energized, announced, or land-and-power capacity remains zero current revenue until the revenue-recognition gate is met.</w:t>
      </w:r>
    </w:p>
    <w:p>
      <w:pPr>
        <w:numPr>
          <w:ilvl w:val="0"/>
          <w:numId w:val="1001"/>
        </w:numPr>
        <w:pStyle w:val="Compact"/>
      </w:pPr>
      <w:r>
        <w:t xml:space="preserve">APLD: 175 MW verified live; approximately 0.80 GW risk-adjusted future IT capacity.</w:t>
      </w:r>
    </w:p>
    <w:p>
      <w:pPr>
        <w:numPr>
          <w:ilvl w:val="0"/>
          <w:numId w:val="1001"/>
        </w:numPr>
        <w:pStyle w:val="Compact"/>
      </w:pPr>
      <w:r>
        <w:t xml:space="preserve">IREN: at least 50 MW accepted; a separate 40 MW operating disclosure may overlap; approximately 0.35-0.38 GW risk-adjusted future IT capacity.</w:t>
      </w:r>
    </w:p>
    <w:p>
      <w:pPr>
        <w:numPr>
          <w:ilvl w:val="0"/>
          <w:numId w:val="1001"/>
        </w:numPr>
        <w:pStyle w:val="Compact"/>
      </w:pPr>
      <w:r>
        <w:t xml:space="preserve">NBIS: current operating IT MW is undisclosed. The 5 GW target is land and power, not current IT capacity or revenue.</w:t>
      </w:r>
    </w:p>
    <w:p>
      <w:pPr>
        <w:numPr>
          <w:ilvl w:val="0"/>
          <w:numId w:val="1001"/>
        </w:numPr>
        <w:pStyle w:val="Compact"/>
      </w:pPr>
      <w:r>
        <w:t xml:space="preserve">CLS: 6.5%-7.0% full-cycle normalized operating margin.</w:t>
      </w:r>
    </w:p>
    <w:p>
      <w:pPr>
        <w:numPr>
          <w:ilvl w:val="0"/>
          <w:numId w:val="1001"/>
        </w:numPr>
        <w:pStyle w:val="Compact"/>
      </w:pPr>
      <w:r>
        <w:t xml:space="preserve">SNDK: retain both approximately 10% historical-cycle and 26%-28% current-scale operating-margin methods.</w:t>
      </w:r>
    </w:p>
    <w:bookmarkEnd w:id="20"/>
    <w:bookmarkStart w:id="21" w:name="valuation-implications-at-a-glance"/>
    <w:p>
      <w:pPr>
        <w:pStyle w:val="Heading2"/>
        <w:keepNext/>
      </w:pPr>
      <w:r>
        <w:t xml:space="preserve">Valuation implications at a glance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2131"/>
        <w:gridCol w:w="6797"/>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93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Ticker</w:t>
            </w:r>
          </w:p>
        </w:tc>
        <w:tc>
          <w:tcPr>
            <w:tcW w:w="2131"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Fully diluted valuation anchor</w:t>
            </w:r>
          </w:p>
        </w:tc>
        <w:tc>
          <w:tcPr>
            <w:tcW w:w="679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Implication</w:t>
            </w:r>
          </w:p>
        </w:tc>
      </w:tr>
      <w:tr>
        <w:trPr>
          <w:cantSplit w:val="true"/>
          <w:cantSplit w:val="true"/>
          <w:cantSplit w:val="true"/>
          <w:cantSplit w:val="true"/>
          <w:cantSplit w:val="true"/>
          <w:cantSplit w:val="true"/>
        </w:trPr>
        <w:tc>
          <w:tcPr>
            <w:tcW w:w="93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CRWV</w:t>
            </w:r>
          </w:p>
        </w:tc>
        <w:tc>
          <w:tcPr>
            <w:tcW w:w="2131"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6"/>
              </w:rPr>
              <w:t xml:space="preserve">$78.0B EV</w:t>
            </w:r>
          </w:p>
        </w:tc>
        <w:tc>
          <w:tcPr>
            <w:tcW w:w="679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Capacity must become available at pricing and utilization sufficient to cover interest, depreciation, leases and replacement capex.</w:t>
            </w:r>
          </w:p>
        </w:tc>
      </w:tr>
      <w:tr>
        <w:trPr>
          <w:cantSplit w:val="true"/>
          <w:cantSplit w:val="true"/>
          <w:cantSplit w:val="true"/>
          <w:cantSplit w:val="true"/>
          <w:cantSplit w:val="true"/>
          <w:cantSplit w:val="true"/>
        </w:trPr>
        <w:tc>
          <w:tcPr>
            <w:tcW w:w="93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ORCL</w:t>
            </w:r>
          </w:p>
        </w:tc>
        <w:tc>
          <w:tcPr>
            <w:tcW w:w="2131"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6"/>
              </w:rPr>
              <w:t xml:space="preserve">$504.6B EV</w:t>
            </w:r>
          </w:p>
        </w:tc>
        <w:tc>
          <w:tcPr>
            <w:tcW w:w="679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Conventional EV excludes about $288B of future data-center lease commitments; RPO needs a cash-return bridge.</w:t>
            </w:r>
          </w:p>
        </w:tc>
      </w:tr>
      <w:tr>
        <w:trPr>
          <w:cantSplit w:val="true"/>
          <w:cantSplit w:val="true"/>
          <w:cantSplit w:val="true"/>
          <w:cantSplit w:val="true"/>
          <w:cantSplit w:val="true"/>
          <w:cantSplit w:val="true"/>
        </w:trPr>
        <w:tc>
          <w:tcPr>
            <w:tcW w:w="93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APLD</w:t>
            </w:r>
          </w:p>
        </w:tc>
        <w:tc>
          <w:tcPr>
            <w:tcW w:w="2131"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6"/>
              </w:rPr>
              <w:t xml:space="preserve">$11.4B EV</w:t>
            </w:r>
          </w:p>
        </w:tc>
        <w:tc>
          <w:tcPr>
            <w:tcW w:w="679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About $14.3M per risk-adjusted MW; most future MW still depends on funding, delivery and tenant possession.</w:t>
            </w:r>
          </w:p>
        </w:tc>
      </w:tr>
      <w:tr>
        <w:trPr>
          <w:cantSplit w:val="true"/>
          <w:cantSplit w:val="true"/>
          <w:cantSplit w:val="true"/>
          <w:cantSplit w:val="true"/>
          <w:cantSplit w:val="true"/>
          <w:cantSplit w:val="true"/>
        </w:trPr>
        <w:tc>
          <w:tcPr>
            <w:tcW w:w="93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IREN</w:t>
            </w:r>
          </w:p>
        </w:tc>
        <w:tc>
          <w:tcPr>
            <w:tcW w:w="2131"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6"/>
              </w:rPr>
              <w:t xml:space="preserve">$17.85B EV</w:t>
            </w:r>
          </w:p>
        </w:tc>
        <w:tc>
          <w:tcPr>
            <w:tcW w:w="679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About</w:t>
            </w:r>
            <w:r>
              <w:rPr>
                <w:rFonts w:ascii="Aptos" w:hAnsi="Aptos"/>
                <w:color w:val="000000"/>
                <w:sz w:val="16"/>
              </w:rPr>
              <w:t xml:space="preserve"> </w:t>
            </w:r>
            <m:oMath>
              <m:r>
                <m:t>47</m:t>
              </m:r>
              <m:r>
                <m:rPr>
                  <m:sty m:val="p"/>
                </m:rPr>
                <m:t>−</m:t>
              </m:r>
            </m:oMath>
            <w:r>
              <w:rPr>
                <w:rFonts w:ascii="Aptos" w:hAnsi="Aptos"/>
                <w:color w:val="000000"/>
                <w:sz w:val="16"/>
              </w:rPr>
              <w:t xml:space="preserve">51M per risk-adjusted MW, including Bitcoin and cloud-stack value; overlap and acceptance remain unresolved.</w:t>
            </w:r>
          </w:p>
        </w:tc>
      </w:tr>
      <w:tr>
        <w:trPr>
          <w:cantSplit w:val="true"/>
          <w:cantSplit w:val="true"/>
          <w:cantSplit w:val="true"/>
          <w:cantSplit w:val="true"/>
          <w:cantSplit w:val="true"/>
          <w:cantSplit w:val="true"/>
        </w:trPr>
        <w:tc>
          <w:tcPr>
            <w:tcW w:w="93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NBIS</w:t>
            </w:r>
          </w:p>
        </w:tc>
        <w:tc>
          <w:tcPr>
            <w:tcW w:w="2131"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6"/>
              </w:rPr>
              <w:t xml:space="preserve">$67.5B EV</w:t>
            </w:r>
          </w:p>
        </w:tc>
        <w:tc>
          <w:tcPr>
            <w:tcW w:w="679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About 21.1x 2026 revenue midpoint; no supportable EV-per-MW calculation.</w:t>
            </w:r>
          </w:p>
        </w:tc>
      </w:tr>
      <w:tr>
        <w:trPr>
          <w:cantSplit w:val="true"/>
          <w:cantSplit w:val="true"/>
          <w:cantSplit w:val="true"/>
          <w:cantSplit w:val="true"/>
          <w:cantSplit w:val="true"/>
          <w:cantSplit w:val="true"/>
        </w:trPr>
        <w:tc>
          <w:tcPr>
            <w:tcW w:w="93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CLS</w:t>
            </w:r>
          </w:p>
        </w:tc>
        <w:tc>
          <w:tcPr>
            <w:tcW w:w="2131"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6"/>
              </w:rPr>
              <w:t xml:space="preserve">$41.9B EV</w:t>
            </w:r>
          </w:p>
        </w:tc>
        <w:tc>
          <w:tcPr>
            <w:tcW w:w="679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About 29-32x normalized FY26 operating profit at a 6.5%-7.0% margin; FY27 ramp and mix carry the debate.</w:t>
            </w:r>
          </w:p>
        </w:tc>
      </w:tr>
      <w:tr>
        <w:trPr>
          <w:cantSplit w:val="true"/>
          <w:cantSplit w:val="true"/>
          <w:cantSplit w:val="true"/>
          <w:cantSplit w:val="true"/>
          <w:cantSplit w:val="true"/>
          <w:cantSplit w:val="true"/>
        </w:trPr>
        <w:tc>
          <w:tcPr>
            <w:tcW w:w="93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SNDK</w:t>
            </w:r>
          </w:p>
        </w:tc>
        <w:tc>
          <w:tcPr>
            <w:tcW w:w="2131"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6"/>
              </w:rPr>
              <w:t xml:space="preserve">$269.2B EV</w:t>
            </w:r>
          </w:p>
        </w:tc>
        <w:tc>
          <w:tcPr>
            <w:tcW w:w="679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About 55x at the 10% historical method versus about 20-21x at the 26%-28% current-scale method; cycle evidence dominates.</w:t>
            </w:r>
          </w:p>
        </w:tc>
      </w:tr>
    </w:tbl>
    <w:bookmarkEnd w:id="21"/>
    <w:bookmarkEnd w:id="22"/>
    <w:bookmarkStart w:id="23" w:name="ranked-catalyst-dashboard"/>
    <w:p>
      <w:pPr>
        <w:pStyle w:val="Heading1"/>
        <w:keepNext/>
        <w:pageBreakBefore/>
      </w:pPr>
      <w:r>
        <w:t xml:space="preserve">Ranked catalyst dashboard</w:t>
      </w:r>
    </w:p>
    <w:p>
      <w:pPr>
        <w:pStyle w:val="FirstParagraph"/>
      </w:pPr>
      <w:r>
        <w:t xml:space="preserve">Scores are research-prioritization estimates, not probabilities of investment return. P/I/T/P means probability, potential impact, timing confidence, and already priced, each on a 0-100 scale.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605"/>
        <w:gridCol w:w="749"/>
        <w:gridCol w:w="1037"/>
        <w:gridCol w:w="3629"/>
        <w:gridCol w:w="1325"/>
        <w:gridCol w:w="2520"/>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604"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5"/>
              </w:rPr>
              <w:t xml:space="preserve">Rank</w:t>
            </w:r>
          </w:p>
        </w:tc>
        <w:tc>
          <w:tcPr>
            <w:tcW w:w="74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5"/>
              </w:rPr>
              <w:t xml:space="preserve">Ticker</w:t>
            </w:r>
          </w:p>
        </w:tc>
        <w:tc>
          <w:tcPr>
            <w:tcW w:w="103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5"/>
              </w:rPr>
              <w:t xml:space="preserve">Horizon</w:t>
            </w:r>
          </w:p>
        </w:tc>
        <w:tc>
          <w:tcPr>
            <w:tcW w:w="362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5"/>
              </w:rPr>
              <w:t xml:space="preserve">Catalyst and expected date</w:t>
            </w:r>
          </w:p>
        </w:tc>
        <w:tc>
          <w:tcPr>
            <w:tcW w:w="1324"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5"/>
              </w:rPr>
              <w:t xml:space="preserve">P/I/T/P</w:t>
            </w:r>
          </w:p>
        </w:tc>
        <w:tc>
          <w:tcPr>
            <w:tcW w:w="2520"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5"/>
              </w:rPr>
              <w:t xml:space="preserve">Key valuation test</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1</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SNDK</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0-30d</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FQ1 FY27 results, October 29 confirmed</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100/96/100/90</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Which normalized margin is defensible?</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2</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CLS</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0-30d</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Q3 results and investor day, October 27 confirmed</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100/84/100/78</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Is 8.4% structural or above cycle?</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3</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ORCL</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1-3m</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Q2 FY27 results, December 14 confirmed</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100/94/100/86</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Do returns exceed lease and funding cost?</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4</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IREN</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1-3m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Horizon 2-4 acceptance, Q4 2026 target</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72/92/64/80</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Does installed MW become accepted MW?</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5</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APLD</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0-30d</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Q1 FY27 results, October 7 confirmed</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100/78/100/70</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Does contracted MW become rent?</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6</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NBIS</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1-3m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Q3 results, estimated November 10-13</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88/91/58/82</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Can operating IT MW be audited?</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7</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CRWV</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1-3m</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Q3 results, estimated early to mid-November</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90/90/64/78</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Does backlog become equity cash flow?</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8</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APLD</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3-12m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PF1 and PF2 possession through first half 2027</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78/95/72/76</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Does accepted capacity produce recurring rent?</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9</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NBIS</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3-12m</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Initial service under new Meta agreement, early 2027</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74/94/72/85</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Do contracts convert to accepted service?</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10</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ORCL</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3-12m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FY27 RPO conversion through May 2027</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80/96/62/88</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Does cash return keep pace with capex?</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11</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CRWV</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3-12m</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FY26 capacity delivery through first half 2027</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76/95/56/84</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Does available compute cover its capital stack?</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12</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CLS</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3-12m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FY27 hyperscaler program ramp</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72/86/62/82</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Does mix sustain more than normalized margin?</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13</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SNDK</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3-12m</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NBM delivery and NAND pricing reset evidence</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68/100/48/92</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Does pricing normalize before volume and cost improve?</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14</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APLD</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12+m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PF3 and Delta Forge delivery, second half 2027 to first half 2028</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56/96/42/68</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Is later-campus value fully funded?</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15</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IREN</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12+m</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Progress toward 0.8 GW accepted IT by end-2027</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58/95/45/82</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Do power rights convert to accepted IT load?</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16</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NBIS</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12+m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5 GW land-and-power conversion, multi-year</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30/100/20/72</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Can gross power become measurable service?</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FFFFF"/>
          </w:tcPr>
          <w:p>
            <w:pPr>
              <w:spacing w:before="0" w:after="0" w:line="247" w:lineRule="auto"/>
              <w:jc w:val="right"/>
            </w:pPr>
            <w:r>
              <w:rPr>
                <w:rFonts w:ascii="Aptos" w:hAnsi="Aptos"/>
                <w:color w:val="000000"/>
                <w:sz w:val="15"/>
              </w:rPr>
              <w:t xml:space="preserve">17</w:t>
            </w:r>
          </w:p>
        </w:tc>
        <w:tc>
          <w:tcPr>
            <w:tcW w:w="748"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CRWV</w:t>
            </w:r>
          </w:p>
        </w:tc>
        <w:tc>
          <w:tcPr>
            <w:tcW w:w="1036"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12+m</w:t>
            </w:r>
          </w:p>
        </w:tc>
        <w:tc>
          <w:tcPr>
            <w:tcW w:w="36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Lease-adjusted refinancing and GPU replacement, 2027+</w:t>
            </w:r>
          </w:p>
        </w:tc>
        <w:tc>
          <w:tcPr>
            <w:tcW w:w="1324"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5"/>
              </w:rPr>
              <w:t xml:space="preserve">82/94/48/66</w:t>
            </w:r>
          </w:p>
        </w:tc>
        <w:tc>
          <w:tcPr>
            <w:tcW w:w="25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5"/>
              </w:rPr>
              <w:t xml:space="preserve">Are asset life and financing tenor matched?</w:t>
            </w:r>
          </w:p>
        </w:tc>
      </w:tr>
      <w:tr>
        <w:trPr>
          <w:cantSplit w:val="true"/>
          <w:cantSplit w:val="true"/>
          <w:cantSplit w:val="true"/>
          <w:cantSplit w:val="true"/>
          <w:cantSplit w:val="true"/>
          <w:cantSplit w:val="true"/>
        </w:trPr>
        <w:tc>
          <w:tcPr>
            <w:tcW w:w="604" w:type="dxa"/>
            <w:tcMar>
              <w:top w:w="80" w:type="dxa"/>
              <w:start w:w="95" w:type="dxa"/>
              <w:bottom w:w="80" w:type="dxa"/>
              <w:end w:w="95" w:type="dxa"/>
            </w:tcMar>
            <w:vAlign w:val="center"/>
            <w:shd w:fill="F2F6F8"/>
          </w:tcPr>
          <w:p>
            <w:pPr>
              <w:spacing w:before="0" w:after="0" w:line="247" w:lineRule="auto"/>
              <w:jc w:val="right"/>
            </w:pPr>
            <w:r>
              <w:rPr>
                <w:rFonts w:ascii="Aptos" w:hAnsi="Aptos"/>
                <w:color w:val="000000"/>
                <w:sz w:val="15"/>
              </w:rPr>
              <w:t xml:space="preserve">18</w:t>
            </w:r>
          </w:p>
        </w:tc>
        <w:tc>
          <w:tcPr>
            <w:tcW w:w="748"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ORCL</w:t>
            </w:r>
          </w:p>
        </w:tc>
        <w:tc>
          <w:tcPr>
            <w:tcW w:w="1036"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12+m</w:t>
            </w:r>
          </w:p>
        </w:tc>
        <w:tc>
          <w:tcPr>
            <w:tcW w:w="36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Long-dated lease commencement, FY27-FY29+</w:t>
            </w:r>
          </w:p>
        </w:tc>
        <w:tc>
          <w:tcPr>
            <w:tcW w:w="1324"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5"/>
              </w:rPr>
              <w:t xml:space="preserve">88/96/66/76</w:t>
            </w:r>
          </w:p>
        </w:tc>
        <w:tc>
          <w:tcPr>
            <w:tcW w:w="25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5"/>
              </w:rPr>
              <w:t xml:space="preserve">Can utilization support 15-19 year obligations?</w:t>
            </w:r>
          </w:p>
        </w:tc>
      </w:tr>
    </w:tbl>
    <w:bookmarkEnd w:id="23"/>
    <w:bookmarkStart w:id="27" w:name="X08f0b89172c787847d3b2ace96e0a1da207241f"/>
    <w:p>
      <w:pPr>
        <w:pStyle w:val="Heading1"/>
        <w:keepNext/>
        <w:pageBreakBefore/>
      </w:pPr>
      <w:r>
        <w:t xml:space="preserve">0-30 days</w:t>
      </w:r>
    </w:p>
    <w:p>
      <w:pPr>
        <w:pStyle w:val="FirstParagraph"/>
      </w:pPr>
      <w:r>
        <w:t xml:space="preserve">Confirmed issuer events exist for APLD, CLS and SNDK. No comparably strong confirmed event was identified in this horizon for CRWV, ORCL, IREN or NBIS as of the report date.</w:t>
      </w:r>
    </w:p>
    <w:bookmarkStart w:id="24" w:name="sndk-fq1-fy27-results-and-fy27-outlook"/>
    <w:p>
      <w:pPr>
        <w:pStyle w:val="Heading2"/>
        <w:keepNext/>
      </w:pPr>
      <w:r>
        <w:t xml:space="preserve">SNDK FQ1 FY27 results and FY27 outlook</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October 29, 2026, confirmed.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Recurring earnings event. FQ1 guidance is revenue</w:t>
            </w:r>
            <w:r>
              <w:rPr>
                <w:rFonts w:ascii="Aptos" w:hAnsi="Aptos"/>
                <w:color w:val="000000"/>
                <w:sz w:val="16"/>
              </w:rPr>
              <w:t xml:space="preserve"> </w:t>
            </w:r>
            <m:oMath>
              <m:r>
                <m:t>10.3</m:t>
              </m:r>
              <m:r>
                <m:rPr>
                  <m:sty m:val="p"/>
                </m:rPr>
                <m:t>−</m:t>
              </m:r>
            </m:oMath>
            <w:r>
              <w:rPr>
                <w:rFonts w:ascii="Aptos" w:hAnsi="Aptos"/>
                <w:color w:val="000000"/>
                <w:sz w:val="16"/>
              </w:rPr>
              <w:t xml:space="preserve">10.8B, non-GAAP gross margin 83%-85%, and EPS</w:t>
            </w:r>
            <w:r>
              <w:rPr>
                <w:rFonts w:ascii="Aptos" w:hAnsi="Aptos"/>
                <w:color w:val="000000"/>
                <w:sz w:val="16"/>
              </w:rPr>
              <w:t xml:space="preserve"> </w:t>
            </w:r>
            <m:oMath>
              <m:r>
                <m:t>44</m:t>
              </m:r>
              <m:r>
                <m:rPr>
                  <m:sty m:val="p"/>
                </m:rPr>
                <m:t>−</m:t>
              </m:r>
            </m:oMath>
            <w:r>
              <w:rPr>
                <w:rFonts w:ascii="Aptos" w:hAnsi="Aptos"/>
                <w:color w:val="000000"/>
                <w:sz w:val="16"/>
              </w:rPr>
              <w:t xml:space="preserve">46.</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Valuation appears to capitalize a peak pricing environment and unusually high current-scale margins. A clean September 30 public-consensus vintage was unavailable.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Revenue above $10.8B, gross margin above 85%, firm NBM pricing, and cash return without constraining joint-venture investment.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NAND ASP reversal, gross margin below 83%, weaker NBM economics, or guidance signaling rapid normalization.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The $269.2B FD EV is roughly 20-21x operating profit at a 26%-28% current-scale margin but about 55x at the 10% historical-cycle method. Retain both.</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100; impact 96; timing confidence 100; already priced 90.</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Revenue, gross margin, revenue per GB, exabyte growth, NBM commentary, adjusted FCF, and buyback execution.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Margin or forward pricing misses; NBM penalties or capped economics; price-led growth without volume support.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NAND supply discipline, Kioxia/JV fixed-cost absorption, BiCS qualification and customer deployments.</w:t>
            </w:r>
          </w:p>
        </w:tc>
      </w:tr>
    </w:tbl>
    <w:bookmarkEnd w:id="24"/>
    <w:bookmarkStart w:id="25" w:name="X692552f3dee4e3fd8404b70c642f3928feea04e"/>
    <w:p>
      <w:pPr>
        <w:pStyle w:val="Heading2"/>
        <w:keepNext/>
      </w:pPr>
      <w:r>
        <w:t xml:space="preserve">CLS Q3 results and 2026 Investor and Analyst Day</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October 27, 2026, confirmed.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Recurring earnings event plus investor day. Q3 revenue guidance is</w:t>
            </w:r>
            <w:r>
              <w:rPr>
                <w:rFonts w:ascii="Aptos" w:hAnsi="Aptos"/>
                <w:color w:val="000000"/>
                <w:sz w:val="16"/>
              </w:rPr>
              <w:t xml:space="preserve"> </w:t>
            </w:r>
            <m:oMath>
              <m:r>
                <m:t>5.25</m:t>
              </m:r>
              <m:r>
                <m:rPr>
                  <m:sty m:val="p"/>
                </m:rPr>
                <m:t>−</m:t>
              </m:r>
            </m:oMath>
            <w:r>
              <w:rPr>
                <w:rFonts w:ascii="Aptos" w:hAnsi="Aptos"/>
                <w:color w:val="000000"/>
                <w:sz w:val="16"/>
              </w:rPr>
              <w:t xml:space="preserve">5.55B; FY26 guidance includes 8.4% adjusted operating margin.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Hyperscaler ramp and HPS mix are expected to support FY27 growth and margins near recent highs.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Higher Q3 revenue, quantified FY27 capacity, customer readiness, and margin resilience despite investment.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Program delays, inventory growth without shipments, or a margin bridge that converges toward 6.5%-7.0% sooner than expected.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High. At $41.9B FD EV, CLS is about 29-32x normalized FY26 operating profit using a 6.5%-7.0% full-cycle margin.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100; impact 84; timing confidence 100; already priced 78.</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Revenue, adjusted margin, HPS mix, FY27 targets, customer readiness, inventory and capex conversion.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Delayed ramps, higher working capital without shipment conversion, or guidance requiring 8%+ margins without supporting mix.</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Three-customer concentration, component supply, production readiness and new capacity deployment.</w:t>
            </w:r>
          </w:p>
        </w:tc>
      </w:tr>
    </w:tbl>
    <w:bookmarkEnd w:id="25"/>
    <w:bookmarkStart w:id="26" w:name="Xeb1785cdd51d3dc65136f3765c17396381f5e25"/>
    <w:p>
      <w:pPr>
        <w:pStyle w:val="Heading2"/>
        <w:keepNext/>
      </w:pPr>
      <w:r>
        <w:t xml:space="preserve">APLD Q1 FY27 results and construction update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October 7, 2026, confirmed.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Recurring earnings event. 175 MW is verified live and revenue-producing; additional contracted capacity remains zero current revenue until possession and rent commencement.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PF1 and PF2 construction remains on schedule and rent steps up as tenants take possession.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More than 175 MW evidenced as accepted and revenue-producing, clear delivery dates, and disclosed funding or cost-to-complete for later campuses.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No increase in accepted MW, slippage, cost inflation, or more expensive financing and dilution.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High. FD EV is $11.4B, or about $14.3M per roughly 797 risk-adjusted IT MW. Only 175 MW supports current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100; impact 78; timing confidence 100; already priced 70.</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Accepted IT MW, rental versus fit-out revenue, possession dates, cost-to-complete, committed funding and restricted cash.</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Contracted or energized MW is presented without tenant acceptance, or later-campus capital needs remain undisclosed.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Utility milestones, tenant fit-out, customer acceptance, project financing and completion guarantees.</w:t>
            </w:r>
          </w:p>
        </w:tc>
      </w:tr>
    </w:tbl>
    <w:bookmarkEnd w:id="26"/>
    <w:bookmarkEnd w:id="27"/>
    <w:bookmarkStart w:id="32" w:name="X1b93f9d1288fe59f67869ff9665c41179777ba5"/>
    <w:p>
      <w:pPr>
        <w:pStyle w:val="Heading1"/>
        <w:keepNext/>
        <w:pageBreakBefore/>
      </w:pPr>
      <w:r>
        <w:t xml:space="preserve">1-3 months</w:t>
      </w:r>
    </w:p>
    <w:p>
      <w:pPr>
        <w:pStyle w:val="FirstParagraph"/>
      </w:pPr>
      <w:r>
        <w:t xml:space="preserve">This horizon is dominated by earnings and acceptance evidence. CRWV and NBIS dates are estimates; IREN has a company target but no exact acceptance date.</w:t>
      </w:r>
    </w:p>
    <w:bookmarkStart w:id="28" w:name="Xfb767ade7f6f36aea5dbdcbfe11841bdfba3b04"/>
    <w:p>
      <w:pPr>
        <w:pStyle w:val="Heading2"/>
        <w:keepNext/>
      </w:pPr>
      <w:r>
        <w:t xml:space="preserve">ORCL Q2 FY27 results and infrastructure-return bridge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December 14, 2026, confirmed.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Recurring earnings event. Q2 revenue growth guidance is 30%-34%; FY27 revenue is guided to at least $90B with</w:t>
            </w:r>
            <w:r>
              <w:rPr>
                <w:rFonts w:ascii="Aptos" w:hAnsi="Aptos"/>
                <w:color w:val="000000"/>
                <w:sz w:val="16"/>
              </w:rPr>
              <w:t xml:space="preserve"> </w:t>
            </w:r>
            <m:oMath>
              <m:r>
                <m:t>90</m:t>
              </m:r>
              <m:r>
                <m:rPr>
                  <m:sty m:val="p"/>
                </m:rPr>
                <m:t>−</m:t>
              </m:r>
            </m:oMath>
            <w:r>
              <w:rPr>
                <w:rFonts w:ascii="Aptos" w:hAnsi="Aptos"/>
                <w:color w:val="000000"/>
                <w:sz w:val="16"/>
              </w:rPr>
              <w:t xml:space="preserve">95B capex.</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Exceptional OCI growth and continued RPO conversion while investors tolerate negative free cash flow and large commitments.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OCI above guidance, faster near-term RPO conversion, more customer-funded hardware or prepayments, and proof that incremental returns exceed funding and lease costs.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Capacity or GPU delays, capex above $95B, slower conversion of the approximately 13% of RPO due within 12 months, or weak cash conversion.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Conventional $504.6B FD EV excludes about $288B of additional data-center lease commitments. Backlog growth alone is insufficient without delivery economics.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100; impact 94; timing confidence 100; already priced 86.</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OCI growth, RPO and 12-month conversion share, capex, operating cash flow, free cash flow, prepayments and new lease commencements.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RPO rises while near-term conversion falls, or capex rises without proportional OCI revenue and gross profit.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Grid and GPU availability, facility delivery, customer readiness, BYOH or prepayment structures, and service commencement.</w:t>
            </w:r>
          </w:p>
        </w:tc>
      </w:tr>
    </w:tbl>
    <w:bookmarkEnd w:id="28"/>
    <w:bookmarkStart w:id="29" w:name="iren-horizon-2-4-acceptance-milestone"/>
    <w:p>
      <w:pPr>
        <w:pStyle w:val="Heading2"/>
        <w:keepNext/>
      </w:pPr>
      <w:r>
        <w:t xml:space="preserve">IREN Horizon 2-4 acceptance milestone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Q4 2026 target, with contractual grace into Q2 2027. Exact acceptance dates are undisclosed.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Construction and commissioning moving toward acceptance. At least 50 MW is accepted; a separate 40 MW operating disclosure may overlap. The 2026 target is 0.3 GW IT.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The remaining 2026 build becomes accepted capacity and supports contracted AI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Acceptance near the Q4 target, explicit non-overlapping MW reconciliation, strong utilization, and lower-cost financing.</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Acceptance slides into the grace period, the 40 MW and 50 MW fully overlap, utilization is weak, or higher-cost asset financing is required.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FD EV is $17.85B, or roughly</w:t>
            </w:r>
            <w:r>
              <w:rPr>
                <w:rFonts w:ascii="Aptos" w:hAnsi="Aptos"/>
                <w:color w:val="000000"/>
                <w:sz w:val="16"/>
              </w:rPr>
              <w:t xml:space="preserve"> </w:t>
            </w:r>
            <m:oMath>
              <m:r>
                <m:t>47</m:t>
              </m:r>
              <m:r>
                <m:rPr>
                  <m:sty m:val="p"/>
                </m:rPr>
                <m:t>−</m:t>
              </m:r>
            </m:oMath>
            <w:r>
              <w:rPr>
                <w:rFonts w:ascii="Aptos" w:hAnsi="Aptos"/>
                <w:color w:val="000000"/>
                <w:sz w:val="16"/>
              </w:rPr>
              <w:t xml:space="preserve">51M per 0.35-0.38 GW risk-adjusted future IT capacity, including Bitcoin and cloud-stack value.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72; impact 92; timing confidence 64; already priced 80.</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Customer acceptance, revenue-producing MW, utilization, AI cloud revenue, loan draw conditions, and a site-level capacity reconciliation.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Only energized or installed capacity is reported, or acceptance and revenue recognition move beyond Q2 2027.</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GPU delivery, commissioning, customer testing, Microsoft acceptance and financing conditions.</w:t>
            </w:r>
          </w:p>
        </w:tc>
      </w:tr>
    </w:tbl>
    <w:bookmarkEnd w:id="29"/>
    <w:bookmarkStart w:id="30" w:name="Xc5b937210c4ee549ed4b0ecaa475c3f2d758465"/>
    <w:p>
      <w:pPr>
        <w:pStyle w:val="Heading2"/>
        <w:keepNext/>
      </w:pPr>
      <w:r>
        <w:t xml:space="preserve">NBIS Q3 2026 results and operating-capacity reconciliation</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Estimated November 10-13, 2026 from prior cadence; not confirmed as of October 1.</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Some Microsoft tranches are in service, but current operating IT MW is undisclosed. Customer prepayments remain deferred until service delivery.</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Rapid AI cloud growth, additional contract conversion, and progress toward</w:t>
            </w:r>
            <w:r>
              <w:rPr>
                <w:rFonts w:ascii="Aptos" w:hAnsi="Aptos"/>
                <w:color w:val="000000"/>
                <w:sz w:val="16"/>
              </w:rPr>
              <w:t xml:space="preserve"> </w:t>
            </w:r>
            <m:oMath>
              <m:r>
                <m:t>7</m:t>
              </m:r>
              <m:r>
                <m:rPr>
                  <m:sty m:val="p"/>
                </m:rPr>
                <m:t>−</m:t>
              </m:r>
            </m:oMath>
            <w:r>
              <w:rPr>
                <w:rFonts w:ascii="Aptos" w:hAnsi="Aptos"/>
                <w:color w:val="000000"/>
                <w:sz w:val="16"/>
              </w:rPr>
              <w:t xml:space="preserve">9B ARR without a public MW bridge.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Site-level accepted IT MW, clear Microsoft tranche economics, higher AI cloud revenue and margin, and proof that asset-level financing funds further deployments.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Continued MW opacity, slower prepayment conversion, rising depreciation, or dilution and capex growing faster than accepted service.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FD EV is $67.5B, about 21.1x 2026 revenue midpoint. No EV-per-MW figure is supportable; 5 GW is land and power.</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88; impact 91; timing confidence 58; already priced 82.</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AI cloud revenue, ARR method, deferred-revenue conversion, accepted IT MW by site, utilization, depreciation and asset returns.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Management repeats land-and-power targets without operating IT MW or customer-service reconciliation.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GPU deployment, energization, customer acceptance, financing and disclosure quality.</w:t>
            </w:r>
          </w:p>
        </w:tc>
      </w:tr>
    </w:tbl>
    <w:bookmarkEnd w:id="30"/>
    <w:bookmarkStart w:id="31" w:name="X2e5f480fe97e5c90038481d654e0a6588233fe1"/>
    <w:p>
      <w:pPr>
        <w:pStyle w:val="Heading2"/>
        <w:keepNext/>
      </w:pPr>
      <w:r>
        <w:t xml:space="preserve">CRWV Q3 2026 results and backlog-to-capacity bridge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Estimated early to mid-November 2026; not confirmed as of October 1.</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Contracted power was about 4.2 GW as of August 11, but contracted power is not available compute and remains zero current revenue until service obligations are met.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New commitments and premium short-duration pricing convert while FY26 revenue and capex stay within</w:t>
            </w:r>
            <w:r>
              <w:rPr>
                <w:rFonts w:ascii="Aptos" w:hAnsi="Aptos"/>
                <w:color w:val="000000"/>
                <w:sz w:val="16"/>
              </w:rPr>
              <w:t xml:space="preserve"> </w:t>
            </w:r>
            <m:oMath>
              <m:r>
                <m:t>12.4</m:t>
              </m:r>
              <m:r>
                <m:rPr>
                  <m:sty m:val="p"/>
                </m:rPr>
                <m:t>−</m:t>
              </m:r>
            </m:oMath>
            <w:r>
              <w:rPr>
                <w:rFonts w:ascii="Aptos" w:hAnsi="Aptos"/>
                <w:color w:val="000000"/>
                <w:sz w:val="16"/>
              </w:rPr>
              <w:t xml:space="preserve">13.2B and</w:t>
            </w:r>
            <w:r>
              <w:rPr>
                <w:rFonts w:ascii="Aptos" w:hAnsi="Aptos"/>
                <w:color w:val="000000"/>
                <w:sz w:val="16"/>
              </w:rPr>
              <w:t xml:space="preserve"> </w:t>
            </w:r>
            <m:oMath>
              <m:r>
                <m:t>35</m:t>
              </m:r>
              <m:r>
                <m:rPr>
                  <m:sty m:val="p"/>
                </m:rPr>
                <m:t>−</m:t>
              </m:r>
            </m:oMath>
            <w:r>
              <w:rPr>
                <w:rFonts w:ascii="Aptos" w:hAnsi="Aptos"/>
                <w:color w:val="000000"/>
                <w:sz w:val="16"/>
              </w:rPr>
              <w:t xml:space="preserve">39B guidance.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Earlier availability, high utilization and pricing, better customer mix, and lower incremental financing spreads.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Energization delays, weaker utilization, capex above guidance, or interest and depreciation rising faster than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The $78.0B conventional FD EV materially understates lease and infrastructure obligations. Q2 interest of $640M and capex of $9.4B show why adjusted EBITDA is not equity cash flow.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90; impact 90; timing confidence 64; already priced 78.</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Available and revenue-producing capacity, utilization, realized price, backlog conversion, capex, interest, leases, customer concentration and free cash flow.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Backlog and contracted power rise while available capacity, cash conversion or funding terms deteriorate.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Power delivery, data-center completion, GPUs, customer readiness and refinancing access.</w:t>
            </w:r>
          </w:p>
        </w:tc>
      </w:tr>
    </w:tbl>
    <w:bookmarkEnd w:id="31"/>
    <w:bookmarkEnd w:id="32"/>
    <w:bookmarkStart w:id="39" w:name="Xa7f12ac0d4604850f16956b594b900da3aabfe4"/>
    <w:p>
      <w:pPr>
        <w:pStyle w:val="Heading1"/>
        <w:keepNext/>
        <w:pageBreakBefore/>
      </w:pPr>
      <w:r>
        <w:t xml:space="preserve">3-12 months</w:t>
      </w:r>
    </w:p>
    <w:p>
      <w:pPr>
        <w:pStyle w:val="FirstParagraph"/>
      </w:pPr>
      <w:r>
        <w:t xml:space="preserve">The focus shifts from quarterly guidance to delivery: accepted capacity, rent or service commencement, and cash returns on deployed capital.</w:t>
      </w:r>
    </w:p>
    <w:bookmarkStart w:id="33" w:name="X6f8f3aa832b0ff5947947054ddaf9058730daca"/>
    <w:p>
      <w:pPr>
        <w:pStyle w:val="Heading2"/>
        <w:keepNext/>
      </w:pPr>
      <w:r>
        <w:t xml:space="preserve">APLD PF1 and PF2 tenant possession and rent commencement</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Through first half 2027; issuer window, with tranche dates not fully specified.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PF1 and PF2 are financed and under construction or operating in phases. 175 MW is verified live; remaining capacity is not current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The 400 MW PF1 and 200 MW PF2 campuses progress toward full rental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Acceptance occurs at the front of the window, rent exceeds construction-stage service revenue, and completion stays on budget.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Possession moves to the end of or beyond the window, fit-out revenue masks rent delay, or guarantees and capitalized interest raise cost.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Extremely high because this is the nearest path from 175 MW live toward the roughly 0.80 GW risk-adjusted base.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78; impact 95; timing confidence 72; already priced 76.</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Customer possession, recurring rental revenue, accepted MW by building, completion cost and debt draws.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No increase in accepted MW by mid-2027 or material cost-to-complete increases.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Construction, utility and cooling systems, tenant fit-out, testing and financing covenants.</w:t>
            </w:r>
          </w:p>
        </w:tc>
      </w:tr>
    </w:tbl>
    <w:bookmarkEnd w:id="33"/>
    <w:bookmarkStart w:id="34" w:name="X5ffdffb62deb5cebbda45c2199408bdfc3cfd92"/>
    <w:p>
      <w:pPr>
        <w:pStyle w:val="Heading2"/>
        <w:keepNext/>
      </w:pPr>
      <w:r>
        <w:t xml:space="preserve">NBIS initial service under the new Meta agreement</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Early 2027, confirmed broad window; precise service date undisclosed.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Binding five-year agreement; capacity delivery has not begun. The $12B committed component and up to $15B additional component are future service, not current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Early-2027 delivery validates the next generation of capacity and supports 2027 growth.</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On-time acceptance, transparent MW and utilization, attractive financing, and prepayment conversion without excessive dilution.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GPU or site delay, lower economics, customer concentration, or capital needs exceeding prepayments and secured financing.</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but the event cannot justify an EV-per-MW calculation without operating MW disclosure.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74; impact 94; timing confidence 72; already priced 85.</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Service commencement, accepted IT MW, recognized revenue, contract duration, utilization, capex, depreciation and debt terms.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Delivery slips beyond the broad window or only installed or energized capacity is 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Vera Rubin availability, site readiness, power, customer testing and financing.</w:t>
            </w:r>
          </w:p>
        </w:tc>
      </w:tr>
    </w:tbl>
    <w:bookmarkEnd w:id="34"/>
    <w:bookmarkStart w:id="35" w:name="Xdf57ac170630e0357edc3e5500a44e0843094cd"/>
    <w:p>
      <w:pPr>
        <w:pStyle w:val="Heading2"/>
        <w:keepNext/>
      </w:pPr>
      <w:r>
        <w:t xml:space="preserve">ORCL FY27 RPO conversion and capex delivery</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Through May 31, 2027; fiscal period confirmed, project timing broad.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Multiple lease, power and purchase commitments are in development. Service revenue follows delivered cloud capacity and usage.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At least $90B FY27 revenue and continued exceptional OCI growth despite</w:t>
            </w:r>
            <w:r>
              <w:rPr>
                <w:rFonts w:ascii="Aptos" w:hAnsi="Aptos"/>
                <w:color w:val="000000"/>
                <w:sz w:val="16"/>
              </w:rPr>
              <w:t xml:space="preserve"> </w:t>
            </w:r>
            <m:oMath>
              <m:r>
                <m:t>90</m:t>
              </m:r>
              <m:r>
                <m:rPr>
                  <m:sty m:val="p"/>
                </m:rPr>
                <m:t>−</m:t>
              </m:r>
            </m:oMath>
            <w:r>
              <w:rPr>
                <w:rFonts w:ascii="Aptos" w:hAnsi="Aptos"/>
                <w:color w:val="000000"/>
                <w:sz w:val="16"/>
              </w:rPr>
              <w:t xml:space="preserve">95B capex.</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Near-term RPO converts on schedule, incremental OCI margin covers financing and lease costs, and customer-funded structures reduce cash strain.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Only long-duration RPO expands, delivery moves into later years, or negative free cash flow persists without a return bridge.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Extremely high. About $288B of off-balance-sheet future data-center leases is central to valuation, not a footnote.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80; impact 96; timing confidence 62; already priced 88.</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FY27 revenue, OCI growth, capex, lease commencements, RPO due within 12 months, operating cash flow and project-level returns.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Capex and lease commitments rise faster than revenue conversion or gross profit.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Data-center construction, grid and GPU supply, customer deployment and funding structure.</w:t>
            </w:r>
          </w:p>
        </w:tc>
      </w:tr>
    </w:tbl>
    <w:bookmarkEnd w:id="35"/>
    <w:bookmarkStart w:id="36" w:name="X11692807a7bae963b4a37e8ebbffd8b4d0a2b1c"/>
    <w:p>
      <w:pPr>
        <w:pStyle w:val="Heading2"/>
        <w:keepNext/>
      </w:pPr>
      <w:r>
        <w:t xml:space="preserve">CRWV FY26 capacity delivery and financing conversion</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Through first half 2027; broad delivery and financing window.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Commitments exist; individual assets range from development to available service. Revenue requires delivery and availability.</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Enlarged backlog and 4.2 GW contracted-power footprint become productive compute at high utilization.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Available MW ramps faster, concentration falls, pricing holds, and funding costs decline as assets season.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Power and facility schedules slip, short-term pricing fades, or refinancing and replacement capex consume operating cash flow.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Extremely high because conventional EV does not capture the full obligation stack and FY26 capex is multiple times projected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76; impact 95; timing confidence 56; already priced 84.</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Revenue-producing power or compute, utilization, backlog burn, interest, lease-adjusted debt, maintenance capex and customer mix.</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Capacity remains contracted but unavailable, or adjusted EBITDA rises without better equity cash conversion.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Energization, facility completion, GPUs, networks, customer acceptance and refinancing.</w:t>
            </w:r>
          </w:p>
        </w:tc>
      </w:tr>
    </w:tbl>
    <w:bookmarkEnd w:id="36"/>
    <w:bookmarkStart w:id="37" w:name="cls-fy27-hyperscaler-program-ramp"/>
    <w:p>
      <w:pPr>
        <w:pStyle w:val="Heading2"/>
        <w:keepNext/>
      </w:pPr>
      <w:r>
        <w:t xml:space="preserve">CLS FY27 hyperscaler program ramp</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Calendar 2027, with evidence over the next four quarters; program-level dates undisclosed.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Capacity investment and customer programs are ramping; full-cycle economics remain unproven at the guided 8.4% margin.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Extraordinary FY27 revenue growth and durable HPS mix.</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Programs launch on time, content per system rises, concentration moderates, and margin stays above 7% with working-capital conversion.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Customer delays, component constraints, inventory accumulation, or margin reversion toward 6.5%-7.0%.</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High. Valuation is sensitive to whether 8.4% is structural or a peak; the required normalized range remains 6.5%-7.0%.</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72; impact 86; timing confidence 62; already priced 82.</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Program shipments, HPS mix, adjusted operating margin, top-three customer share, inventory turns, capex and free cash flow.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FY27 capacity arrives before customer demand or cash conversion weakens as inventory grows.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Hyperscaler schedules, components, new-site execution and customer concentration.</w:t>
            </w:r>
          </w:p>
        </w:tc>
      </w:tr>
    </w:tbl>
    <w:bookmarkEnd w:id="37"/>
    <w:bookmarkStart w:id="38" w:name="X812fc943c9237981709087580ab9a3dba942701"/>
    <w:p>
      <w:pPr>
        <w:pStyle w:val="Heading2"/>
        <w:keepNext/>
      </w:pPr>
      <w:r>
        <w:t xml:space="preserve">SNDK NBM delivery and NAND pricing reset evidence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FY27 through June 2027; contract reset dates undisclosed.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Commercial production cycle; pricing formulas and downside protection are not public.</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Peak-like pricing and current-scale margins persist well beyond FQ1.</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Revenue per GB remains firm, exabyte growth accelerates, NBM economics remain favorable, and JV investment supports supply discipline.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ASP declines faster than cost, NBM terms cap upside or create penalties, or yield transitions raise costs.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Highest valuation sensitivity in the set. Moving between 26%-28% and 10% normalized operating margin changes the implied multiple from about 20-21x to about 55x.</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68; impact 100; timing confidence 48; already priced 92.</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Revenue per GB, exabytes, gross margin, NBM volumes and pricing, BiCS yield, JV spending and adjusted FCF.</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Price-led growth reverses before volume and cost improvements can offset it.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Industry supply discipline, customer inventory, Kioxia/JV execution and technology qualification.</w:t>
            </w:r>
          </w:p>
        </w:tc>
      </w:tr>
    </w:tbl>
    <w:bookmarkEnd w:id="38"/>
    <w:bookmarkEnd w:id="39"/>
    <w:bookmarkStart w:id="45" w:name="X1fb43a28d88d64e76f42ce8460c1b2a5869ff36"/>
    <w:p>
      <w:pPr>
        <w:pStyle w:val="Heading1"/>
        <w:keepNext/>
        <w:pageBreakBefore/>
      </w:pPr>
      <w:r>
        <w:t xml:space="preserve">12+ months</w:t>
      </w:r>
    </w:p>
    <w:p>
      <w:pPr>
        <w:pStyle w:val="FirstParagraph"/>
      </w:pPr>
      <w:r>
        <w:t xml:space="preserve">Long-duration catalysts carry the largest execution and timing discounts. Gross power, backlog and construction are not substitutes for accepted service or full-cycle economics.</w:t>
      </w:r>
    </w:p>
    <w:bookmarkStart w:id="40" w:name="X20d03e45385d43dda21917c8ec55216eb4c044c"/>
    <w:p>
      <w:pPr>
        <w:pStyle w:val="Heading2"/>
        <w:keepNext/>
      </w:pPr>
      <w:r>
        <w:t xml:space="preserve">APLD PF3 and Delta Forge delivery and financing</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Second half 2027 through first half 2028; financing and tranche dates incomplete.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Binding leases and construction exist, but 810 MW outside PF1/PF2 lacks fully disclosed committed financing and cost-to-complete.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 meaningful portion of valuation appears to credit these later campuses before full funding and acceptance.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Lower-cost financing, on-budget construction, and staged possession at the front of stated windows.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Funding gaps, completion-guarantee calls, dilution, overruns, or delayed possession.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These projects comprise most of risk-adjusted future capacity but zero current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56; impact 96; timing confidence 42; already priced 68.</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Committed capital by project, cost-to-complete, progress, utility milestones, acceptance and rent commencement.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Construction continues without a complete funding bridge or delivery windows move right.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Financing, permitting, utility interconnection, construction, tenant fit-out and acceptance.</w:t>
            </w:r>
          </w:p>
        </w:tc>
      </w:tr>
    </w:tbl>
    <w:bookmarkEnd w:id="40"/>
    <w:bookmarkStart w:id="41" w:name="Xaf56a56ed66f39b810a55d561678253d209a3aa"/>
    <w:p>
      <w:pPr>
        <w:pStyle w:val="Heading2"/>
        <w:keepNext/>
      </w:pPr>
      <w:r>
        <w:t xml:space="preserve">IREN progress toward 0.8 GW accepted IT capacity</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By end-2027; target confirmed, site and acceptance schedule incomplete.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Target and development pipeline, not current revenue. Risk-adjusted future capacity is about 0.35-0.38 GW, not 0.8 GW.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Valuation appears to credit significant execution toward 0.8 GW.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Site-level acceptance, durable utilization and ACV per MW, and financing below the upper end of 6%-9%.</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Power rights do not convert to IT load, concentration rises, utilization falls after initial terms, or Bitcoin cash flow subsidizes cloud buildout.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because</w:t>
            </w:r>
            <w:r>
              <w:rPr>
                <w:rFonts w:ascii="Aptos" w:hAnsi="Aptos"/>
                <w:color w:val="000000"/>
                <w:sz w:val="16"/>
              </w:rPr>
              <w:t xml:space="preserve"> </w:t>
            </w:r>
            <m:oMath>
              <m:r>
                <m:t>47</m:t>
              </m:r>
              <m:r>
                <m:rPr>
                  <m:sty m:val="p"/>
                </m:rPr>
                <m:t>−</m:t>
              </m:r>
            </m:oMath>
            <w:r>
              <w:rPr>
                <w:rFonts w:ascii="Aptos" w:hAnsi="Aptos"/>
                <w:color w:val="000000"/>
                <w:sz w:val="16"/>
              </w:rPr>
              <w:t xml:space="preserve">51M EV per risk-adjusted MW already embeds substantial future conversion.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58; impact 95; timing confidence 45; already priced 82.</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Accepted MW, customer mix, utilization, AI revenue per MW, financing cost and segment cash flow.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The target remains expressed as power or installed equipment rather than customer-accepted capacity.</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Land, grid, construction, GPUs, customer contracts, acceptance and finance.</w:t>
            </w:r>
          </w:p>
        </w:tc>
      </w:tr>
    </w:tbl>
    <w:bookmarkEnd w:id="41"/>
    <w:bookmarkStart w:id="42" w:name="X405fdec62c38492daaa523c2207cb432829c5d0"/>
    <w:p>
      <w:pPr>
        <w:pStyle w:val="Heading2"/>
        <w:keepNext/>
      </w:pPr>
      <w:r>
        <w:t xml:space="preserve">NBIS 5 GW land-and-power target conversion</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Multi-year; no supportable completion date. Timing confidence is low.</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Land and power objective, not IT capacity or revenue. Site status remains below revenue-producing until financing, construction, energization and service are proven.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Some investor narratives translate 5 GW too directly into future revenue capacity.</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 site-level bridge converts power to connected IT load, accepted service and revenue with funded economics.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The footprint remains a development option while GPU, construction, depreciation and financing costs rise.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Potentially very high but presently not measurable. No EV-per-MW value is supportable.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30; impact 100; timing confidence 20; already priced 72.</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Permitted, financed, built, energized, customer-accepted IT MW and revenue per site.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Repeated gross-power announcements without accepted IT MW, utilization or recognized revenue.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Site control, interconnection, permitting, capital, GPUs, customers and acceptance.</w:t>
            </w:r>
          </w:p>
        </w:tc>
      </w:tr>
    </w:tbl>
    <w:bookmarkEnd w:id="42"/>
    <w:bookmarkStart w:id="43" w:name="Xaa550b596c6ae7ae1bb7f33e48be427ccfd6e55"/>
    <w:p>
      <w:pPr>
        <w:pStyle w:val="Heading2"/>
        <w:keepNext/>
      </w:pPr>
      <w:r>
        <w:t xml:space="preserve">CRWV lease-adjusted refinancing and GPU replacement cycle</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2027 and beyond; estimated from asset lives and obligation profile. Detailed schedule is missing.</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Ongoing financing requirement; asset-level maturity and GPU replacement schedule is not fully 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Refinancing access and useful lives preserve residual economics after customer contracts.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Funding spreads compress, asset tenors match cash flows, and useful life or residual value exceeds conservative assumptions.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Higher spreads, tenor mismatch, accelerated obsolescence, or maintenance capex materially above expectations.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because conventional EV materially understates obligations and adjusted EBITDA excludes major claims on cash.</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82; impact 94; timing confidence 48; already priced 66.</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Lease-adjusted debt, maturity ladder, spreads, contract tenor, depreciation life, replacement capex and resale value.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Near-term refinancing funds long-lived commitments without a matched cash-flow schedule.</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Capital markets, customer credit, GPU technology, utilization and residual demand.</w:t>
            </w:r>
          </w:p>
        </w:tc>
      </w:tr>
    </w:tbl>
    <w:bookmarkEnd w:id="43"/>
    <w:bookmarkStart w:id="44" w:name="X09252e56eb043fb75d27539371b26e8ab9e92c8"/>
    <w:p>
      <w:pPr>
        <w:pStyle w:val="Heading2"/>
        <w:keepNext/>
      </w:pPr>
      <w:r>
        <w:t xml:space="preserve">ORCL long-dated data-center lease commencement and returns</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776"/>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208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Field</w:t>
            </w:r>
          </w:p>
        </w:tc>
        <w:tc>
          <w:tcPr>
            <w:tcW w:w="7776"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Expected date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FY27-FY29 and beyond; broad commencement window 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Current status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Committed leases and purchases; many facilities are not in service. Parts of the portfolio carry 15-19 year tenor.</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Market expectation</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AI demand persists long enough for OCI returns to exceed the full lease and financing burden.</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Upside surprise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High utilization, pricing durability, customer-funded equipment, and attractive returns after initial contract terms.</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Downside surprise</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Underutilization, renewal or contract-tenor mismatch, obsolescence, or structurally lower return on invested capital.</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Financial significance</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Very high. The $288B future lease commitment can dominate incremental economics even though it is excluded from conventional EV.</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Scores</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Probability 88; impact 96; timing confidence 66; already priced 76.</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Confirmation metric</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Lease commencements, utilization, OCI gross profit, customer tenor, renewal economics and return on invested capital.</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FFFFF"/>
          </w:tcPr>
          <w:p>
            <w:pPr>
              <w:keepNext w:val="0"/>
              <w:spacing w:before="0" w:after="0" w:line="247" w:lineRule="auto"/>
              <w:jc w:val="left"/>
            </w:pPr>
            <w:r>
              <w:rPr>
                <w:rFonts w:ascii="Aptos" w:hAnsi="Aptos"/>
                <w:b/>
                <w:color w:val="000000"/>
                <w:sz w:val="16"/>
              </w:rPr>
              <w:t xml:space="preserve">Failure metric</w:t>
            </w:r>
          </w:p>
        </w:tc>
        <w:tc>
          <w:tcPr>
            <w:tcW w:w="7776"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Long-lived leases commence ahead of contracted demand or project returns remain undisclosed.</w:t>
            </w:r>
          </w:p>
        </w:tc>
      </w:tr>
      <w:tr>
        <w:trPr>
          <w:cantSplit w:val="true"/>
          <w:cantSplit w:val="true"/>
          <w:cantSplit w:val="true"/>
          <w:cantSplit w:val="true"/>
          <w:cantSplit w:val="true"/>
          <w:cantSplit w:val="true"/>
        </w:trPr>
        <w:tc>
          <w:tcPr>
            <w:tcW w:w="2088" w:type="dxa"/>
            <w:tcMar>
              <w:top w:w="80" w:type="dxa"/>
              <w:start w:w="95" w:type="dxa"/>
              <w:bottom w:w="80" w:type="dxa"/>
              <w:end w:w="95" w:type="dxa"/>
            </w:tcMar>
            <w:vAlign w:val="center"/>
            <w:shd w:fill="F2F6F8"/>
          </w:tcPr>
          <w:p>
            <w:pPr>
              <w:keepNext w:val="0"/>
              <w:spacing w:before="0" w:after="0" w:line="247" w:lineRule="auto"/>
              <w:jc w:val="left"/>
            </w:pPr>
            <w:r>
              <w:rPr>
                <w:rFonts w:ascii="Aptos" w:hAnsi="Aptos"/>
                <w:b/>
                <w:color w:val="000000"/>
                <w:sz w:val="16"/>
              </w:rPr>
              <w:t xml:space="preserve">Dependencies</w:t>
            </w:r>
          </w:p>
        </w:tc>
        <w:tc>
          <w:tcPr>
            <w:tcW w:w="7776"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Sustained demand, asset delivery, renewals, power, GPUs and financing.</w:t>
            </w:r>
          </w:p>
        </w:tc>
      </w:tr>
    </w:tbl>
    <w:bookmarkEnd w:id="44"/>
    <w:bookmarkEnd w:id="45"/>
    <w:bookmarkStart w:id="53" w:name="cross-company-assessment"/>
    <w:p>
      <w:pPr>
        <w:pStyle w:val="Heading1"/>
        <w:keepNext/>
        <w:pageBreakBefore/>
      </w:pPr>
      <w:r>
        <w:t xml:space="preserve">Cross-company assessment</w:t>
      </w:r>
    </w:p>
    <w:bookmarkStart w:id="46" w:name="most-important-near-term-catalyst"/>
    <w:p>
      <w:pPr>
        <w:pStyle w:val="Heading2"/>
        <w:keepNext/>
      </w:pPr>
      <w:r>
        <w:t xml:space="preserve">Most important near-term catalyst</w:t>
      </w:r>
    </w:p>
    <w:p>
      <w:pPr>
        <w:pStyle w:val="FirstParagraph"/>
      </w:pPr>
      <w:r>
        <w:t xml:space="preserve">SNDK FQ1 FY27 results on October 29. The event directly tests the widest valuation range in the set: roughly 10% historical-cycle operating margin versus 26%-28% current-scale margin. Guidance at or above the 83%-85% gross-margin band would support current-scale economics, while an early ASP or margin reversal would move attention toward the historical method.</w:t>
      </w:r>
    </w:p>
    <w:bookmarkEnd w:id="46"/>
    <w:bookmarkStart w:id="47" w:name="most-important-medium-term-catalyst"/>
    <w:p>
      <w:pPr>
        <w:pStyle w:val="Heading2"/>
        <w:keepNext/>
      </w:pPr>
      <w:r>
        <w:t xml:space="preserve">Most important medium-term catalyst</w:t>
      </w:r>
    </w:p>
    <w:p>
      <w:pPr>
        <w:pStyle w:val="FirstParagraph"/>
      </w:pPr>
      <w:r>
        <w:t xml:space="preserve">APLD PF1/PF2 tenant possession through the first half of 2027. APLD has the clearest physical denominator: 175 MW live today and approximately 0.80 GW risk-adjusted future IT capacity. Each accepted tranche can be tied to recurring rent, while delay exposes financing, capitalized-interest and completion-guarantee risk.</w:t>
      </w:r>
    </w:p>
    <w:bookmarkEnd w:id="47"/>
    <w:bookmarkStart w:id="48" w:name="catalysts-that-appear-overhyped"/>
    <w:p>
      <w:pPr>
        <w:pStyle w:val="Heading2"/>
        <w:keepNext/>
      </w:pPr>
      <w:r>
        <w:t xml:space="preserve">Catalysts that appear overhyped</w:t>
      </w:r>
    </w:p>
    <w:p>
      <w:pPr>
        <w:numPr>
          <w:ilvl w:val="0"/>
          <w:numId w:val="1002"/>
        </w:numPr>
        <w:pStyle w:val="Compact"/>
      </w:pPr>
      <w:r>
        <w:t xml:space="preserve">NBIS 5 GW land-and-power target. It is neither disclosed operating IT capacity nor current revenue.</w:t>
      </w:r>
    </w:p>
    <w:p>
      <w:pPr>
        <w:numPr>
          <w:ilvl w:val="0"/>
          <w:numId w:val="1002"/>
        </w:numPr>
        <w:pStyle w:val="Compact"/>
      </w:pPr>
      <w:r>
        <w:t xml:space="preserve">CRWV contracted power and backlog growth without an availability, utilization, lease-adjusted debt and equity-cash-flow bridge.</w:t>
      </w:r>
    </w:p>
    <w:p>
      <w:pPr>
        <w:numPr>
          <w:ilvl w:val="0"/>
          <w:numId w:val="1002"/>
        </w:numPr>
        <w:pStyle w:val="Compact"/>
      </w:pPr>
      <w:r>
        <w:t xml:space="preserve">IREN 0.8 GW 2027 target before site-level acceptance and reconciliation of the 40 MW and 50 MW disclosures.</w:t>
      </w:r>
    </w:p>
    <w:p>
      <w:pPr>
        <w:numPr>
          <w:ilvl w:val="0"/>
          <w:numId w:val="1002"/>
        </w:numPr>
        <w:pStyle w:val="Compact"/>
      </w:pPr>
      <w:r>
        <w:t xml:space="preserve">APLD later-campus MW before full financing and cost-to-complete disclosure.</w:t>
      </w:r>
    </w:p>
    <w:p>
      <w:pPr>
        <w:numPr>
          <w:ilvl w:val="0"/>
          <w:numId w:val="1002"/>
        </w:numPr>
        <w:pStyle w:val="Compact"/>
      </w:pPr>
      <w:r>
        <w:t xml:space="preserve">ORCL RPO growth viewed independently of near-term conversion, capex and future lease commitments.</w:t>
      </w:r>
    </w:p>
    <w:bookmarkEnd w:id="48"/>
    <w:bookmarkStart w:id="49" w:name="catalysts-that-may-be-underappreciated"/>
    <w:p>
      <w:pPr>
        <w:pStyle w:val="Heading2"/>
        <w:keepNext/>
      </w:pPr>
      <w:r>
        <w:t xml:space="preserve">Catalysts that may be underappreciated</w:t>
      </w:r>
    </w:p>
    <w:p>
      <w:pPr>
        <w:numPr>
          <w:ilvl w:val="0"/>
          <w:numId w:val="1003"/>
        </w:numPr>
        <w:pStyle w:val="Compact"/>
      </w:pPr>
      <w:r>
        <w:t xml:space="preserve">APLD rental revenue mix separating recurring rent from tenant fit-out services.</w:t>
      </w:r>
    </w:p>
    <w:p>
      <w:pPr>
        <w:numPr>
          <w:ilvl w:val="0"/>
          <w:numId w:val="1003"/>
        </w:numPr>
        <w:pStyle w:val="Compact"/>
      </w:pPr>
      <w:r>
        <w:t xml:space="preserve">CRWV and ORCL financing structure, including spreads, customer-funded hardware and contract-to-asset tenor matching.</w:t>
      </w:r>
    </w:p>
    <w:p>
      <w:pPr>
        <w:numPr>
          <w:ilvl w:val="0"/>
          <w:numId w:val="1003"/>
        </w:numPr>
        <w:pStyle w:val="Compact"/>
      </w:pPr>
      <w:r>
        <w:t xml:space="preserve">CLS working-capital conversion alongside program shipments.</w:t>
      </w:r>
    </w:p>
    <w:p>
      <w:pPr>
        <w:numPr>
          <w:ilvl w:val="0"/>
          <w:numId w:val="1003"/>
        </w:numPr>
        <w:pStyle w:val="Compact"/>
      </w:pPr>
      <w:r>
        <w:t xml:space="preserve">SNDK exabyte growth and BiCS yield as offsets to ASP normalization.</w:t>
      </w:r>
    </w:p>
    <w:p>
      <w:pPr>
        <w:numPr>
          <w:ilvl w:val="0"/>
          <w:numId w:val="1003"/>
        </w:numPr>
        <w:pStyle w:val="Compact"/>
      </w:pPr>
      <w:r>
        <w:t xml:space="preserve">NBIS site-level operating IT MW reconciliation.</w:t>
      </w:r>
    </w:p>
    <w:bookmarkEnd w:id="49"/>
    <w:bookmarkStart w:id="50" w:name="catalyst-dependencies"/>
    <w:p>
      <w:pPr>
        <w:pStyle w:val="Heading2"/>
        <w:keepNext/>
      </w:pPr>
      <w:r>
        <w:t xml:space="preserve">Catalyst dependencies</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20"/>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1944"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7"/>
              </w:rPr>
              <w:t xml:space="preserve">Cohort</w:t>
            </w:r>
          </w:p>
        </w:tc>
        <w:tc>
          <w:tcPr>
            <w:tcW w:w="7920"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7"/>
              </w:rPr>
              <w:t xml:space="preserve">Dependency chain</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7"/>
              </w:rPr>
              <w:t xml:space="preserve">CRWV and ORCL</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7"/>
              </w:rPr>
              <w:t xml:space="preserve">Power and facility delivery -&gt; GPU and network installation -&gt; service availability -&gt; utilization and pricing -&gt; cash return after financing and leases.</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7"/>
              </w:rPr>
              <w:t xml:space="preserve">APLD, IREN and NBIS</w:t>
            </w:r>
          </w:p>
        </w:tc>
        <w:tc>
          <w:tcPr>
            <w:tcW w:w="79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7"/>
              </w:rPr>
              <w:t xml:space="preserve">Site control and grid -&gt; funding -&gt; construction -&gt; energization -&gt; customer testing and acceptance -&gt; revenue recognition.</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7"/>
              </w:rPr>
              <w:t xml:space="preserve">CLS</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7"/>
              </w:rPr>
              <w:t xml:space="preserve">Customer readiness and components -&gt; program ramp -&gt; shipments and mix -&gt; inventory and capex conversion -&gt; sustainable margin.</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7"/>
              </w:rPr>
              <w:t xml:space="preserve">SNDK</w:t>
            </w:r>
          </w:p>
        </w:tc>
        <w:tc>
          <w:tcPr>
            <w:tcW w:w="79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7"/>
              </w:rPr>
              <w:t xml:space="preserve">NAND supply discipline and yields -&gt; ASP and revenue per GB -&gt; NBM economics -&gt; gross margin -&gt; free cash flow and capital return.</w:t>
            </w:r>
          </w:p>
        </w:tc>
      </w:tr>
    </w:tbl>
    <w:bookmarkEnd w:id="50"/>
    <w:bookmarkStart w:id="51" w:name="risks-to-timing"/>
    <w:p>
      <w:pPr>
        <w:pStyle w:val="Heading2"/>
        <w:keepNext/>
      </w:pPr>
      <w:r>
        <w:t xml:space="preserve">Risks to timing</w:t>
      </w:r>
    </w:p>
    <w:p>
      <w:pPr>
        <w:pStyle w:val="FirstParagraph"/>
      </w:pPr>
      <w:r>
        <w:t xml:space="preserve">The most common schedule risks are utility interconnection, facility commissioning, GPU delivery, customer qualification, and financing conditions. CRWV and NBIS quarterly dates are unconfirmed. IREN provides a Q4 2026 target with contractual grace into Q2 2027, so a Q4 miss is not necessarily a contract failure but would reduce timing confidence. APLD delivery windows span multiple halves and do not reveal building-level acceptance dates.</w:t>
      </w:r>
    </w:p>
    <w:bookmarkEnd w:id="51"/>
    <w:bookmarkStart w:id="52" w:name="evidence-quality"/>
    <w:p>
      <w:pPr>
        <w:pStyle w:val="Heading2"/>
        <w:keepNext/>
      </w:pPr>
      <w:r>
        <w:t xml:space="preserve">Evidence quality</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1512"/>
        <w:gridCol w:w="6624"/>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1728"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Dimension</w:t>
            </w:r>
          </w:p>
        </w:tc>
        <w:tc>
          <w:tcPr>
            <w:tcW w:w="1512"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Assessment</w:t>
            </w:r>
          </w:p>
        </w:tc>
        <w:tc>
          <w:tcPr>
            <w:tcW w:w="6623"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Consequence</w:t>
            </w:r>
          </w:p>
        </w:tc>
      </w:tr>
      <w:tr>
        <w:trPr>
          <w:cantSplit w:val="true"/>
          <w:cantSplit w:val="true"/>
          <w:cantSplit w:val="true"/>
          <w:cantSplit w:val="true"/>
          <w:cantSplit w:val="true"/>
          <w:cantSplit w:val="true"/>
        </w:trPr>
        <w:tc>
          <w:tcPr>
            <w:tcW w:w="17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Recency</w:t>
            </w:r>
          </w:p>
        </w:tc>
        <w:tc>
          <w:tcPr>
            <w:tcW w:w="1512"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6"/>
              </w:rPr>
              <w:t xml:space="preserve">High</w:t>
            </w:r>
          </w:p>
        </w:tc>
        <w:tc>
          <w:tcPr>
            <w:tcW w:w="6623"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Source report through September 30 plus issuer calendars checked October 1.</w:t>
            </w:r>
          </w:p>
        </w:tc>
      </w:tr>
      <w:tr>
        <w:trPr>
          <w:cantSplit w:val="true"/>
          <w:cantSplit w:val="true"/>
          <w:cantSplit w:val="true"/>
          <w:cantSplit w:val="true"/>
          <w:cantSplit w:val="true"/>
          <w:cantSplit w:val="true"/>
        </w:trPr>
        <w:tc>
          <w:tcPr>
            <w:tcW w:w="17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Authority</w:t>
            </w:r>
          </w:p>
        </w:tc>
        <w:tc>
          <w:tcPr>
            <w:tcW w:w="1512"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6"/>
              </w:rPr>
              <w:t xml:space="preserve">High</w:t>
            </w:r>
          </w:p>
        </w:tc>
        <w:tc>
          <w:tcPr>
            <w:tcW w:w="6623"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Core facts rely on filings and issuer investor-relations materials.</w:t>
            </w:r>
          </w:p>
        </w:tc>
      </w:tr>
      <w:tr>
        <w:trPr>
          <w:cantSplit w:val="true"/>
          <w:cantSplit w:val="true"/>
          <w:cantSplit w:val="true"/>
          <w:cantSplit w:val="true"/>
          <w:cantSplit w:val="true"/>
          <w:cantSplit w:val="true"/>
        </w:trPr>
        <w:tc>
          <w:tcPr>
            <w:tcW w:w="17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Catalyst dates</w:t>
            </w:r>
          </w:p>
        </w:tc>
        <w:tc>
          <w:tcPr>
            <w:tcW w:w="1512"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6"/>
              </w:rPr>
              <w:t xml:space="preserve">Medium-high</w:t>
            </w:r>
          </w:p>
        </w:tc>
        <w:tc>
          <w:tcPr>
            <w:tcW w:w="6623"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Four dates are confirmed; CRWV, NBIS and several delivery windows are estimated.</w:t>
            </w:r>
          </w:p>
        </w:tc>
      </w:tr>
      <w:tr>
        <w:trPr>
          <w:cantSplit w:val="true"/>
          <w:cantSplit w:val="true"/>
          <w:cantSplit w:val="true"/>
          <w:cantSplit w:val="true"/>
          <w:cantSplit w:val="true"/>
          <w:cantSplit w:val="true"/>
        </w:trPr>
        <w:tc>
          <w:tcPr>
            <w:tcW w:w="17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Expectations</w:t>
            </w:r>
          </w:p>
        </w:tc>
        <w:tc>
          <w:tcPr>
            <w:tcW w:w="1512"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6"/>
              </w:rPr>
              <w:t xml:space="preserve">Medium-low</w:t>
            </w:r>
          </w:p>
        </w:tc>
        <w:tc>
          <w:tcPr>
            <w:tcW w:w="6623"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No complete dated consensus series; company guidance and valuation burden are the main benchmarks.</w:t>
            </w:r>
          </w:p>
        </w:tc>
      </w:tr>
      <w:tr>
        <w:trPr>
          <w:cantSplit w:val="true"/>
          <w:cantSplit w:val="true"/>
          <w:cantSplit w:val="true"/>
          <w:cantSplit w:val="true"/>
          <w:cantSplit w:val="true"/>
          <w:cantSplit w:val="true"/>
        </w:trPr>
        <w:tc>
          <w:tcPr>
            <w:tcW w:w="1728"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Capacity comparability</w:t>
            </w:r>
          </w:p>
        </w:tc>
        <w:tc>
          <w:tcPr>
            <w:tcW w:w="1512" w:type="dxa"/>
            <w:tcMar>
              <w:top w:w="80" w:type="dxa"/>
              <w:start w:w="95" w:type="dxa"/>
              <w:bottom w:w="80" w:type="dxa"/>
              <w:end w:w="95" w:type="dxa"/>
            </w:tcMar>
            <w:vAlign w:val="center"/>
            <w:shd w:fill="FFFFFF"/>
          </w:tcPr>
          <w:p>
            <w:pPr>
              <w:spacing w:before="0" w:after="0" w:line="247" w:lineRule="auto"/>
              <w:jc w:val="center"/>
            </w:pPr>
            <w:r>
              <w:rPr>
                <w:rFonts w:ascii="Aptos" w:hAnsi="Aptos"/>
                <w:color w:val="000000"/>
                <w:sz w:val="16"/>
              </w:rPr>
              <w:t xml:space="preserve">Medium-low</w:t>
            </w:r>
          </w:p>
        </w:tc>
        <w:tc>
          <w:tcPr>
            <w:tcW w:w="6623"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Utility power, connected power, IT load, GPUs, acceptance and revenue are distinct.</w:t>
            </w:r>
          </w:p>
        </w:tc>
      </w:tr>
      <w:tr>
        <w:trPr>
          <w:cantSplit w:val="true"/>
          <w:cantSplit w:val="true"/>
          <w:cantSplit w:val="true"/>
          <w:cantSplit w:val="true"/>
          <w:cantSplit w:val="true"/>
          <w:cantSplit w:val="true"/>
        </w:trPr>
        <w:tc>
          <w:tcPr>
            <w:tcW w:w="1728"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Valuation</w:t>
            </w:r>
          </w:p>
        </w:tc>
        <w:tc>
          <w:tcPr>
            <w:tcW w:w="1512" w:type="dxa"/>
            <w:tcMar>
              <w:top w:w="80" w:type="dxa"/>
              <w:start w:w="95" w:type="dxa"/>
              <w:bottom w:w="80" w:type="dxa"/>
              <w:end w:w="95" w:type="dxa"/>
            </w:tcMar>
            <w:vAlign w:val="center"/>
            <w:shd w:fill="F2F6F8"/>
          </w:tcPr>
          <w:p>
            <w:pPr>
              <w:spacing w:before="0" w:after="0" w:line="247" w:lineRule="auto"/>
              <w:jc w:val="center"/>
            </w:pPr>
            <w:r>
              <w:rPr>
                <w:rFonts w:ascii="Aptos" w:hAnsi="Aptos"/>
                <w:color w:val="000000"/>
                <w:sz w:val="16"/>
              </w:rPr>
              <w:t xml:space="preserve">Medium</w:t>
            </w:r>
          </w:p>
        </w:tc>
        <w:tc>
          <w:tcPr>
            <w:tcW w:w="6623"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FD EV improves comparability, but lease and contingent obligations remain unevenly disclosed.</w:t>
            </w:r>
          </w:p>
        </w:tc>
      </w:tr>
    </w:tbl>
    <w:bookmarkEnd w:id="52"/>
    <w:bookmarkEnd w:id="53"/>
    <w:bookmarkStart w:id="54" w:name="unresolved-sensitivities"/>
    <w:p>
      <w:pPr>
        <w:pStyle w:val="Heading1"/>
        <w:keepNext/>
        <w:pageBreakBefore/>
      </w:pPr>
      <w:r>
        <w:t xml:space="preserve">Unresolved sensitivities</w:t>
      </w:r>
    </w:p>
    <w:p>
      <w:pPr>
        <w:numPr>
          <w:ilvl w:val="0"/>
          <w:numId w:val="1004"/>
        </w:numPr>
        <w:pStyle w:val="Compact"/>
      </w:pPr>
      <w:r>
        <w:t xml:space="preserve">CRWV: lease-adjusted debt and asset-level maturities matched to customer tenor and GPU useful life.</w:t>
      </w:r>
    </w:p>
    <w:p>
      <w:pPr>
        <w:numPr>
          <w:ilvl w:val="0"/>
          <w:numId w:val="1004"/>
        </w:numPr>
        <w:pStyle w:val="Compact"/>
      </w:pPr>
      <w:r>
        <w:t xml:space="preserve">ORCL: customer concentration and project-level AI RPO economics, including BYOH and prepaid structures.</w:t>
      </w:r>
    </w:p>
    <w:p>
      <w:pPr>
        <w:numPr>
          <w:ilvl w:val="0"/>
          <w:numId w:val="1004"/>
        </w:numPr>
        <w:pStyle w:val="Compact"/>
      </w:pPr>
      <w:r>
        <w:t xml:space="preserve">APLD: remaining cost-to-complete and committed financing for PF3 and both Delta Forge projects.</w:t>
      </w:r>
    </w:p>
    <w:p>
      <w:pPr>
        <w:numPr>
          <w:ilvl w:val="0"/>
          <w:numId w:val="1004"/>
        </w:numPr>
        <w:pStyle w:val="Compact"/>
      </w:pPr>
      <w:r>
        <w:t xml:space="preserve">IREN: overlap between the 40 MW operating and 50 MW accepted disclosures; site-level accepted capacity.</w:t>
      </w:r>
    </w:p>
    <w:p>
      <w:pPr>
        <w:numPr>
          <w:ilvl w:val="0"/>
          <w:numId w:val="1004"/>
        </w:numPr>
        <w:pStyle w:val="Compact"/>
      </w:pPr>
      <w:r>
        <w:t xml:space="preserve">NBIS: operating IT MW, utilization and conversion from power to service. Do not infer these from revenue or 5 GW land and power.</w:t>
      </w:r>
    </w:p>
    <w:p>
      <w:pPr>
        <w:numPr>
          <w:ilvl w:val="0"/>
          <w:numId w:val="1004"/>
        </w:numPr>
        <w:pStyle w:val="Compact"/>
      </w:pPr>
      <w:r>
        <w:t xml:space="preserve">CLS: program-level FY27 capacity and customer readiness; 8.4% guided versus 6.5%-7.0% normalized margin.</w:t>
      </w:r>
    </w:p>
    <w:p>
      <w:pPr>
        <w:numPr>
          <w:ilvl w:val="0"/>
          <w:numId w:val="1004"/>
        </w:numPr>
        <w:pStyle w:val="Compact"/>
      </w:pPr>
      <w:r>
        <w:t xml:space="preserve">SNDK: NBM reset formulas and downside protection through a NAND trough. Retain both normalization methods.</w:t>
      </w:r>
    </w:p>
    <w:p>
      <w:pPr>
        <w:numPr>
          <w:ilvl w:val="0"/>
          <w:numId w:val="1004"/>
        </w:numPr>
        <w:pStyle w:val="Compact"/>
      </w:pPr>
      <w:r>
        <w:t xml:space="preserve">All issuers: a consistent September 30 public-consensus history remains unavailable.</w:t>
      </w:r>
    </w:p>
    <w:bookmarkEnd w:id="54"/>
    <w:bookmarkStart w:id="68" w:name="sources"/>
    <w:p>
      <w:pPr>
        <w:pStyle w:val="Heading1"/>
        <w:keepNext/>
        <w:pageBreakBefore/>
      </w:pPr>
      <w:r>
        <w:t xml:space="preserve">Sources</w:t>
      </w:r>
    </w:p>
    <w:p>
      <w:pPr>
        <w:numPr>
          <w:ilvl w:val="0"/>
          <w:numId w:val="1005"/>
        </w:numPr>
        <w:pStyle w:val="Compact"/>
      </w:pPr>
      <w:r>
        <w:rPr>
          <w:bCs/>
          <w:b/>
        </w:rPr>
        <w:t xml:space="preserve">R0.</w:t>
      </w:r>
      <w:r>
        <w:t xml:space="preserve"> </w:t>
      </w:r>
      <w:r>
        <w:rPr>
          <w:iCs/>
          <w:i/>
        </w:rPr>
        <w:t xml:space="preserve">Comparative Valuation and Execution Risk</w:t>
      </w:r>
      <w:r>
        <w:t xml:space="preserve">, September 30, 2026. Uploaded authoritative research record.</w:t>
      </w:r>
    </w:p>
    <w:p>
      <w:pPr>
        <w:numPr>
          <w:ilvl w:val="0"/>
          <w:numId w:val="1005"/>
        </w:numPr>
        <w:pStyle w:val="Compact"/>
      </w:pPr>
      <w:r>
        <w:rPr>
          <w:bCs/>
          <w:b/>
        </w:rPr>
        <w:t xml:space="preserve">S1.</w:t>
      </w:r>
      <w:r>
        <w:t xml:space="preserve"> </w:t>
      </w:r>
      <w:hyperlink r:id="rId55">
        <w:r>
          <w:rPr>
            <w:rStyle w:val="Hyperlink"/>
          </w:rPr>
          <w:t xml:space="preserve">Applied Digital investor calendar</w:t>
        </w:r>
      </w:hyperlink>
      <w:r>
        <w:t xml:space="preserve">.</w:t>
      </w:r>
    </w:p>
    <w:p>
      <w:pPr>
        <w:numPr>
          <w:ilvl w:val="0"/>
          <w:numId w:val="1005"/>
        </w:numPr>
        <w:pStyle w:val="Compact"/>
      </w:pPr>
      <w:r>
        <w:rPr>
          <w:bCs/>
          <w:b/>
        </w:rPr>
        <w:t xml:space="preserve">S2.</w:t>
      </w:r>
      <w:r>
        <w:t xml:space="preserve"> </w:t>
      </w:r>
      <w:hyperlink r:id="rId56">
        <w:r>
          <w:rPr>
            <w:rStyle w:val="Hyperlink"/>
          </w:rPr>
          <w:t xml:space="preserve">Applied Digital FY2026 Form 10-K</w:t>
        </w:r>
      </w:hyperlink>
      <w:r>
        <w:t xml:space="preserve">.</w:t>
      </w:r>
    </w:p>
    <w:p>
      <w:pPr>
        <w:numPr>
          <w:ilvl w:val="0"/>
          <w:numId w:val="1005"/>
        </w:numPr>
        <w:pStyle w:val="Compact"/>
      </w:pPr>
      <w:r>
        <w:rPr>
          <w:bCs/>
          <w:b/>
        </w:rPr>
        <w:t xml:space="preserve">S3.</w:t>
      </w:r>
      <w:r>
        <w:t xml:space="preserve"> </w:t>
      </w:r>
      <w:hyperlink r:id="rId57">
        <w:r>
          <w:rPr>
            <w:rStyle w:val="Hyperlink"/>
          </w:rPr>
          <w:t xml:space="preserve">Celestica October 27 Investor and Analyst Day announcement</w:t>
        </w:r>
      </w:hyperlink>
      <w:r>
        <w:t xml:space="preserve">.</w:t>
      </w:r>
    </w:p>
    <w:p>
      <w:pPr>
        <w:numPr>
          <w:ilvl w:val="0"/>
          <w:numId w:val="1005"/>
        </w:numPr>
        <w:pStyle w:val="Compact"/>
      </w:pPr>
      <w:r>
        <w:rPr>
          <w:bCs/>
          <w:b/>
        </w:rPr>
        <w:t xml:space="preserve">S4.</w:t>
      </w:r>
      <w:r>
        <w:t xml:space="preserve"> </w:t>
      </w:r>
      <w:hyperlink r:id="rId58">
        <w:r>
          <w:rPr>
            <w:rStyle w:val="Hyperlink"/>
          </w:rPr>
          <w:t xml:space="preserve">Sandisk investor events</w:t>
        </w:r>
      </w:hyperlink>
      <w:r>
        <w:t xml:space="preserve">.</w:t>
      </w:r>
    </w:p>
    <w:p>
      <w:pPr>
        <w:numPr>
          <w:ilvl w:val="0"/>
          <w:numId w:val="1005"/>
        </w:numPr>
        <w:pStyle w:val="Compact"/>
      </w:pPr>
      <w:r>
        <w:rPr>
          <w:bCs/>
          <w:b/>
        </w:rPr>
        <w:t xml:space="preserve">S5.</w:t>
      </w:r>
      <w:r>
        <w:t xml:space="preserve"> </w:t>
      </w:r>
      <w:hyperlink r:id="rId59">
        <w:r>
          <w:rPr>
            <w:rStyle w:val="Hyperlink"/>
          </w:rPr>
          <w:t xml:space="preserve">Sandisk FY2026 results and FQ1 FY27 guidance</w:t>
        </w:r>
      </w:hyperlink>
      <w:r>
        <w:t xml:space="preserve">.</w:t>
      </w:r>
    </w:p>
    <w:p>
      <w:pPr>
        <w:numPr>
          <w:ilvl w:val="0"/>
          <w:numId w:val="1005"/>
        </w:numPr>
        <w:pStyle w:val="Compact"/>
      </w:pPr>
      <w:r>
        <w:rPr>
          <w:bCs/>
          <w:b/>
        </w:rPr>
        <w:t xml:space="preserve">S6.</w:t>
      </w:r>
      <w:r>
        <w:t xml:space="preserve"> </w:t>
      </w:r>
      <w:hyperlink r:id="rId60">
        <w:r>
          <w:rPr>
            <w:rStyle w:val="Hyperlink"/>
          </w:rPr>
          <w:t xml:space="preserve">Oracle investor FAQ</w:t>
        </w:r>
      </w:hyperlink>
      <w:r>
        <w:t xml:space="preserve">.</w:t>
      </w:r>
    </w:p>
    <w:p>
      <w:pPr>
        <w:numPr>
          <w:ilvl w:val="0"/>
          <w:numId w:val="1005"/>
        </w:numPr>
        <w:pStyle w:val="Compact"/>
      </w:pPr>
      <w:r>
        <w:rPr>
          <w:bCs/>
          <w:b/>
        </w:rPr>
        <w:t xml:space="preserve">S7.</w:t>
      </w:r>
      <w:r>
        <w:t xml:space="preserve"> </w:t>
      </w:r>
      <w:hyperlink r:id="rId61">
        <w:r>
          <w:rPr>
            <w:rStyle w:val="Hyperlink"/>
          </w:rPr>
          <w:t xml:space="preserve">Oracle Q1 FY2027 results</w:t>
        </w:r>
      </w:hyperlink>
      <w:r>
        <w:t xml:space="preserve">.</w:t>
      </w:r>
    </w:p>
    <w:p>
      <w:pPr>
        <w:numPr>
          <w:ilvl w:val="0"/>
          <w:numId w:val="1005"/>
        </w:numPr>
        <w:pStyle w:val="Compact"/>
      </w:pPr>
      <w:r>
        <w:rPr>
          <w:bCs/>
          <w:b/>
        </w:rPr>
        <w:t xml:space="preserve">S8.</w:t>
      </w:r>
      <w:r>
        <w:t xml:space="preserve"> </w:t>
      </w:r>
      <w:hyperlink r:id="rId62">
        <w:r>
          <w:rPr>
            <w:rStyle w:val="Hyperlink"/>
          </w:rPr>
          <w:t xml:space="preserve">CoreWeave Q2 2026 Form 10-Q</w:t>
        </w:r>
      </w:hyperlink>
      <w:r>
        <w:t xml:space="preserve">.</w:t>
      </w:r>
    </w:p>
    <w:p>
      <w:pPr>
        <w:numPr>
          <w:ilvl w:val="0"/>
          <w:numId w:val="1005"/>
        </w:numPr>
        <w:pStyle w:val="Compact"/>
      </w:pPr>
      <w:r>
        <w:rPr>
          <w:bCs/>
          <w:b/>
        </w:rPr>
        <w:t xml:space="preserve">S9.</w:t>
      </w:r>
      <w:r>
        <w:t xml:space="preserve"> </w:t>
      </w:r>
      <w:hyperlink r:id="rId63">
        <w:r>
          <w:rPr>
            <w:rStyle w:val="Hyperlink"/>
          </w:rPr>
          <w:t xml:space="preserve">CoreWeave September capacity pricing update</w:t>
        </w:r>
      </w:hyperlink>
      <w:r>
        <w:t xml:space="preserve">.</w:t>
      </w:r>
    </w:p>
    <w:p>
      <w:pPr>
        <w:numPr>
          <w:ilvl w:val="0"/>
          <w:numId w:val="1005"/>
        </w:numPr>
        <w:pStyle w:val="Compact"/>
      </w:pPr>
      <w:r>
        <w:rPr>
          <w:bCs/>
          <w:b/>
        </w:rPr>
        <w:t xml:space="preserve">S10.</w:t>
      </w:r>
      <w:r>
        <w:t xml:space="preserve"> </w:t>
      </w:r>
      <w:hyperlink r:id="rId64">
        <w:r>
          <w:rPr>
            <w:rStyle w:val="Hyperlink"/>
          </w:rPr>
          <w:t xml:space="preserve">IREN FY2026 Form 10-K</w:t>
        </w:r>
      </w:hyperlink>
      <w:r>
        <w:t xml:space="preserve">.</w:t>
      </w:r>
    </w:p>
    <w:p>
      <w:pPr>
        <w:numPr>
          <w:ilvl w:val="0"/>
          <w:numId w:val="1005"/>
        </w:numPr>
        <w:pStyle w:val="Compact"/>
      </w:pPr>
      <w:r>
        <w:rPr>
          <w:bCs/>
          <w:b/>
        </w:rPr>
        <w:t xml:space="preserve">S11.</w:t>
      </w:r>
      <w:r>
        <w:t xml:space="preserve"> </w:t>
      </w:r>
      <w:hyperlink r:id="rId65">
        <w:r>
          <w:rPr>
            <w:rStyle w:val="Hyperlink"/>
          </w:rPr>
          <w:t xml:space="preserve">Nebius investor-events page</w:t>
        </w:r>
      </w:hyperlink>
      <w:r>
        <w:t xml:space="preserve">.</w:t>
      </w:r>
    </w:p>
    <w:p>
      <w:pPr>
        <w:numPr>
          <w:ilvl w:val="0"/>
          <w:numId w:val="1005"/>
        </w:numPr>
        <w:pStyle w:val="Compact"/>
      </w:pPr>
      <w:r>
        <w:rPr>
          <w:bCs/>
          <w:b/>
        </w:rPr>
        <w:t xml:space="preserve">S12.</w:t>
      </w:r>
      <w:r>
        <w:t xml:space="preserve"> </w:t>
      </w:r>
      <w:hyperlink r:id="rId66">
        <w:r>
          <w:rPr>
            <w:rStyle w:val="Hyperlink"/>
          </w:rPr>
          <w:t xml:space="preserve">Nebius secured financing and Microsoft-tranche update</w:t>
        </w:r>
      </w:hyperlink>
      <w:r>
        <w:t xml:space="preserve">.</w:t>
      </w:r>
    </w:p>
    <w:p>
      <w:pPr>
        <w:numPr>
          <w:ilvl w:val="0"/>
          <w:numId w:val="1005"/>
        </w:numPr>
        <w:pStyle w:val="Compact"/>
      </w:pPr>
      <w:r>
        <w:rPr>
          <w:bCs/>
          <w:b/>
        </w:rPr>
        <w:t xml:space="preserve">S13.</w:t>
      </w:r>
      <w:r>
        <w:t xml:space="preserve"> </w:t>
      </w:r>
      <w:hyperlink r:id="rId67">
        <w:r>
          <w:rPr>
            <w:rStyle w:val="Hyperlink"/>
          </w:rPr>
          <w:t xml:space="preserve">Nebius Meta agreement</w:t>
        </w:r>
      </w:hyperlink>
      <w:r>
        <w:t xml:space="preserve">.</w:t>
      </w:r>
    </w:p>
    <w:bookmarkEnd w:id="68"/>
    <w:bookmarkStart w:id="69" w:name="supervisor-handoff"/>
    <w:p>
      <w:pPr>
        <w:pStyle w:val="Heading1"/>
        <w:keepNext/>
        <w:pageBreakBefore/>
      </w:pPr>
      <w:r>
        <w:t xml:space="preserve">Supervisor Handoff</w:t>
      </w:r>
    </w:p>
    <w:p>
      <w:pPr>
        <w:pStyle w:val="FirstParagraph"/>
      </w:pPr>
      <w:r>
        <w:t xml:space="preserve">Use this section as the complete downstream-agent briefing. It is explicit about definitions, source authority, open questions, and prohibited shortcuts.</w:t>
      </w:r>
    </w:p>
    <w:tbl>
      <w:tblPr>
        <w:tblStyle w:val="Table"/>
        <w:tblW w:type="auto" w:w="0"/>
        <w:tblLayout w:type="fixed"/>
        <w:tblLook w:firstRow="1" w:lastRow="0" w:firstColumn="0" w:lastColumn="0" w:noHBand="0" w:noVBand="0" w:val="002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20"/>
      </w:tblGrid>
      <w:tr>
        <w:trPr>
          <w:tblHeader w:val="true"/>
          <w:tblHeader w:val="true"/>
          <w:cantSplit w:val="true"/>
          <w:tblHeader w:val="true"/>
          <w:cantSplit w:val="true"/>
          <w:tblHeader w:val="true"/>
          <w:cantSplit w:val="true"/>
          <w:tblHeader w:val="true"/>
          <w:cantSplit w:val="true"/>
          <w:tblHeader w:val="true"/>
          <w:cantSplit w:val="true"/>
          <w:tblHeader w:val="true"/>
          <w:cantSplit w:val="true"/>
        </w:trPr>
        <w:tc>
          <w:tcPr>
            <w:tcW w:w="1944"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Topic</w:t>
            </w:r>
          </w:p>
        </w:tc>
        <w:tc>
          <w:tcPr>
            <w:tcW w:w="7920" w:type="dxa"/>
            <w:tcMar>
              <w:top w:w="80" w:type="dxa"/>
              <w:start w:w="95" w:type="dxa"/>
              <w:bottom w:w="80" w:type="dxa"/>
              <w:end w:w="95" w:type="dxa"/>
            </w:tcMar>
            <w:vAlign w:val="center"/>
            <w:shd w:fill="17324D"/>
          </w:tcPr>
          <w:p>
            <w:pPr>
              <w:spacing w:before="0" w:after="0" w:line="247" w:lineRule="auto"/>
              <w:jc w:val="center"/>
            </w:pPr>
            <w:r>
              <w:rPr>
                <w:rFonts w:ascii="Aptos" w:hAnsi="Aptos"/>
                <w:b/>
                <w:color w:val="FFFFFF"/>
                <w:sz w:val="16"/>
              </w:rPr>
              <w:t xml:space="preserve">Instruction</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b/>
                <w:color w:val="000000"/>
                <w:sz w:val="16"/>
              </w:rPr>
              <w:t xml:space="preserve">Assignment</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Continue catalyst monitoring for CRWV, ORCL, APLD, IREN, NBIS, CLS and SNDK as of October 1, 2026. Evaluate only events capable of changing earnings expectations, valuation, investor perception, or execution probability. Do not issue investment recommendations.</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2F6F8"/>
          </w:tcPr>
          <w:p>
            <w:pPr>
              <w:spacing w:before="0" w:after="0" w:line="247" w:lineRule="auto"/>
              <w:jc w:val="left"/>
            </w:pPr>
            <w:r>
              <w:rPr>
                <w:rFonts w:ascii="Aptos" w:hAnsi="Aptos"/>
                <w:b/>
                <w:color w:val="000000"/>
                <w:sz w:val="16"/>
              </w:rPr>
              <w:t xml:space="preserve">Authoritative record</w:t>
            </w:r>
          </w:p>
        </w:tc>
        <w:tc>
          <w:tcPr>
            <w:tcW w:w="79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The completed</w:t>
            </w:r>
            <w:r>
              <w:rPr>
                <w:rFonts w:ascii="Aptos" w:hAnsi="Aptos"/>
                <w:color w:val="000000"/>
                <w:sz w:val="16"/>
              </w:rPr>
              <w:t xml:space="preserve"> </w:t>
            </w:r>
            <w:r>
              <w:rPr>
                <w:iCs/>
                <w:rFonts w:ascii="Aptos" w:hAnsi="Aptos"/>
                <w:i/>
                <w:color w:val="000000"/>
                <w:sz w:val="16"/>
              </w:rPr>
              <w:t xml:space="preserve">Comparative Valuation and Execution Risk</w:t>
            </w:r>
            <w:r>
              <w:rPr>
                <w:rFonts w:ascii="Aptos" w:hAnsi="Aptos"/>
                <w:color w:val="000000"/>
                <w:sz w:val="16"/>
              </w:rPr>
              <w:t xml:space="preserve"> </w:t>
            </w:r>
            <w:r>
              <w:rPr>
                <w:rFonts w:ascii="Aptos" w:hAnsi="Aptos"/>
                <w:color w:val="000000"/>
                <w:sz w:val="16"/>
              </w:rPr>
              <w:t xml:space="preserve">report dated September 30, 2026 controls definitions, calculations and linked sources. This catalyst report adds calendar verification and prioritization; it does not replace the source record.</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b/>
                <w:color w:val="000000"/>
                <w:sz w:val="16"/>
              </w:rPr>
              <w:t xml:space="preserve">Valuation rule</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Use fully diluted enterprise values. Conventional EV materially understates CRWV and ORCL obligations. CRWV FD EV is $78.0B. ORCL FD EV is $504.6B before about $288B of additional future data-center lease commitments.</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2F6F8"/>
          </w:tcPr>
          <w:p>
            <w:pPr>
              <w:spacing w:before="0" w:after="0" w:line="247" w:lineRule="auto"/>
              <w:jc w:val="left"/>
            </w:pPr>
            <w:r>
              <w:rPr>
                <w:rFonts w:ascii="Aptos" w:hAnsi="Aptos"/>
                <w:b/>
                <w:color w:val="000000"/>
                <w:sz w:val="16"/>
              </w:rPr>
              <w:t xml:space="preserve">Revenue rule</w:t>
            </w:r>
          </w:p>
        </w:tc>
        <w:tc>
          <w:tcPr>
            <w:tcW w:w="79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Count only customer-accepted, revenue-producing capacity as current revenue. Contracted, funded, under-construction, energized, commissioned, announced, reservation, framework, land-and-power, or target capacity remains zero current revenue until service availability, customer acceptance where applicable, and revenue production are evidenced.</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b/>
                <w:color w:val="000000"/>
                <w:sz w:val="16"/>
              </w:rPr>
              <w:t xml:space="preserve">Capacity anchors</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APLD: 175 MW verified live and about 0.80 GW risk-adjusted future IT. IREN: at least 50 MW accepted; a separate 40 MW operating disclosure may overlap; about 0.35-0.38 GW risk-adjusted future IT. NBIS: operating IT MW undisclosed; never treat 5 GW land and power as IT capacity or current revenue.</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2F6F8"/>
          </w:tcPr>
          <w:p>
            <w:pPr>
              <w:spacing w:before="0" w:after="0" w:line="247" w:lineRule="auto"/>
              <w:jc w:val="left"/>
            </w:pPr>
            <w:r>
              <w:rPr>
                <w:rFonts w:ascii="Aptos" w:hAnsi="Aptos"/>
                <w:b/>
                <w:color w:val="000000"/>
                <w:sz w:val="16"/>
              </w:rPr>
              <w:t xml:space="preserve">Margin anchors</w:t>
            </w:r>
          </w:p>
        </w:tc>
        <w:tc>
          <w:tcPr>
            <w:tcW w:w="79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CLS full-cycle normalized operating margin is 6.5%-7.0%, not the 8.4% guided point. SNDK must retain both approximately 10% historical-cycle and 26%-28% current-scale methods. Do not collapse the range without new evidence on price floors and NBM resets.</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b/>
                <w:color w:val="000000"/>
                <w:sz w:val="16"/>
              </w:rPr>
              <w:t xml:space="preserve">Highest-priority events</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October 7 APLD Q1 FY27; October 27 CLS Q3 plus investor day; October 29 SNDK FQ1 FY27; Q4 IREN Horizon 2-4 acceptance target; estimated November CRWV and NBIS results; December 14 ORCL Q2 FY27; early-2027 NBIS Meta service; APLD PF1/PF2 acceptance through first half 2027.</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2F6F8"/>
          </w:tcPr>
          <w:p>
            <w:pPr>
              <w:spacing w:before="0" w:after="0" w:line="247" w:lineRule="auto"/>
              <w:jc w:val="left"/>
            </w:pPr>
            <w:r>
              <w:rPr>
                <w:rFonts w:ascii="Aptos" w:hAnsi="Aptos"/>
                <w:b/>
                <w:color w:val="000000"/>
                <w:sz w:val="16"/>
              </w:rPr>
              <w:t xml:space="preserve">Key confirmation metrics</w:t>
            </w:r>
          </w:p>
        </w:tc>
        <w:tc>
          <w:tcPr>
            <w:tcW w:w="79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Accepted and revenue-producing MW; rent or service revenue separate from fit-out and prepayments; available capacity and utilization; capex, interest and lease-adjusted obligations; operating cash conversion; CLS HPS mix and inventory; SNDK revenue per GB, exabytes, NBM economics and gross margin.</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b/>
                <w:color w:val="000000"/>
                <w:sz w:val="16"/>
              </w:rPr>
              <w:t xml:space="preserve">Missing evidence</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Do not invent public consensus, NBIS operating MW, APLD later-campus financing, IREN overlap resolution, CRWV maturity and asset-life matching, ORCL project returns, CLS program economics, or SNDK NBM reset formulas. Mark absent evidence explicitly.</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2F6F8"/>
          </w:tcPr>
          <w:p>
            <w:pPr>
              <w:spacing w:before="0" w:after="0" w:line="247" w:lineRule="auto"/>
              <w:jc w:val="left"/>
            </w:pPr>
            <w:r>
              <w:rPr>
                <w:rFonts w:ascii="Aptos" w:hAnsi="Aptos"/>
                <w:b/>
                <w:color w:val="000000"/>
                <w:sz w:val="16"/>
              </w:rPr>
              <w:t xml:space="preserve">Immediate workflow</w:t>
            </w:r>
          </w:p>
        </w:tc>
        <w:tc>
          <w:tcPr>
            <w:tcW w:w="7920" w:type="dxa"/>
            <w:tcMar>
              <w:top w:w="80" w:type="dxa"/>
              <w:start w:w="95" w:type="dxa"/>
              <w:bottom w:w="80" w:type="dxa"/>
              <w:end w:w="95" w:type="dxa"/>
            </w:tcMar>
            <w:vAlign w:val="center"/>
            <w:shd w:fill="F2F6F8"/>
          </w:tcPr>
          <w:p>
            <w:pPr>
              <w:spacing w:before="0" w:after="0" w:line="247" w:lineRule="auto"/>
              <w:jc w:val="left"/>
            </w:pPr>
            <w:r>
              <w:rPr>
                <w:rFonts w:ascii="Aptos" w:hAnsi="Aptos"/>
                <w:color w:val="000000"/>
                <w:sz w:val="16"/>
              </w:rPr>
              <w:t xml:space="preserve">Check issuer IR calendars and SEC filings for new dates or results. Update project status only on a real 0-9 transition. Reconcile capacity by site and stage before changing current revenue. Recalculate valuation only with dated price, fully diluted shares, obligations and unrestricted cash. Report what changed versus this handoff.</w:t>
            </w:r>
          </w:p>
        </w:tc>
      </w:tr>
      <w:tr>
        <w:trPr>
          <w:cantSplit w:val="true"/>
          <w:cantSplit w:val="true"/>
          <w:cantSplit w:val="true"/>
          <w:cantSplit w:val="true"/>
          <w:cantSplit w:val="true"/>
          <w:cantSplit w:val="true"/>
        </w:trPr>
        <w:tc>
          <w:tcPr>
            <w:tcW w:w="1944" w:type="dxa"/>
            <w:tcMar>
              <w:top w:w="80" w:type="dxa"/>
              <w:start w:w="95" w:type="dxa"/>
              <w:bottom w:w="80" w:type="dxa"/>
              <w:end w:w="95" w:type="dxa"/>
            </w:tcMar>
            <w:vAlign w:val="center"/>
            <w:shd w:fill="FFFFFF"/>
          </w:tcPr>
          <w:p>
            <w:pPr>
              <w:spacing w:before="0" w:after="0" w:line="247" w:lineRule="auto"/>
              <w:jc w:val="left"/>
            </w:pPr>
            <w:r>
              <w:rPr>
                <w:rFonts w:ascii="Aptos" w:hAnsi="Aptos"/>
                <w:b/>
                <w:color w:val="000000"/>
                <w:sz w:val="16"/>
              </w:rPr>
              <w:t xml:space="preserve">Output constraint</w:t>
            </w:r>
          </w:p>
        </w:tc>
        <w:tc>
          <w:tcPr>
            <w:tcW w:w="7920" w:type="dxa"/>
            <w:tcMar>
              <w:top w:w="80" w:type="dxa"/>
              <w:start w:w="95" w:type="dxa"/>
              <w:bottom w:w="80" w:type="dxa"/>
              <w:end w:w="95" w:type="dxa"/>
            </w:tcMar>
            <w:vAlign w:val="center"/>
            <w:shd w:fill="FFFFFF"/>
          </w:tcPr>
          <w:p>
            <w:pPr>
              <w:spacing w:before="0" w:after="0" w:line="247" w:lineRule="auto"/>
              <w:jc w:val="left"/>
            </w:pPr>
            <w:r>
              <w:rPr>
                <w:rFonts w:ascii="Aptos" w:hAnsi="Aptos"/>
                <w:color w:val="000000"/>
                <w:sz w:val="16"/>
              </w:rPr>
              <w:t xml:space="preserve">Identify valuation implications and unresolved sensitivities without a buy, sell, hold, price target, or personalized recommendation.</w:t>
            </w:r>
          </w:p>
        </w:tc>
      </w:tr>
    </w:tbl>
    <w:p>
      <w:pPr>
        <w:pStyle w:val="BodyText"/>
      </w:pPr>
      <w:r>
        <w:rPr>
          <w:bCs/>
          <w:b/>
        </w:rPr>
        <w:t xml:space="preserve">End of handoff</w:t>
      </w:r>
    </w:p>
    <w:bookmarkEnd w:id="69"/>
    <w:sectPr w:rsidR="00FC693F" w:rsidRPr="0006063C" w:rsidSect="00034616">
      <w:headerReference r:id="rId9" w:type="default"/>
      <w:footerReference r:id="rId10" w:type="default"/>
      <w:pgSz w:h="15840" w:w="12240"/>
      <w:pgMar w:bottom="893" w:footer="403" w:gutter="0" w:header="374"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8737D"/>
        <w:sz w:val="15"/>
      </w:rPr>
      <w:t>CATALYST ANALYST  |  COMPARATIVE CATALYST RESEARCH  |  OCTOBER 1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color w:val="00000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Display" w:asciiTheme="majorHAnsi" w:cstheme="majorBidi" w:eastAsiaTheme="majorEastAsia" w:hAnsi="Aptos Display"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ptos Display" w:asciiTheme="majorHAnsi" w:cstheme="majorBidi" w:eastAsiaTheme="majorEastAsia" w:hAnsi="Aptos Display" w:hAnsiTheme="majorHAnsi"/>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Arial" w:asciiTheme="majorHAnsi" w:cstheme="majorBidi" w:eastAsiaTheme="majorEastAsia" w:hAnsi="Arial" w:hAnsiTheme="majorHAnsi"/>
      <w:b/>
      <w:bCs/>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line="240" w:lineRule="auto" w:before="0"/>
      <w:contextualSpacing/>
    </w:pPr>
    <w:rPr>
      <w:rFonts w:ascii="Aptos Display" w:asciiTheme="majorHAnsi" w:cstheme="majorBidi" w:eastAsiaTheme="majorEastAsia" w:hAnsi="Aptos Display" w:hAnsiTheme="majorHAnsi"/>
      <w:b/>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before="0" w:after="60"/>
    </w:pPr>
    <w:rPr>
      <w:rFonts w:asciiTheme="majorHAnsi" w:cstheme="majorBidi" w:eastAsiaTheme="majorEastAsia" w:hAnsiTheme="majorHAnsi" w:ascii="Aptos Display" w:hAnsi="Aptos Display"/>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contextualSpacing/>
    </w:pPr>
    <w:rPr>
      <w:rFonts w:ascii="Arial" w:hAnsi="Arial"/>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contextualSpacing/>
    </w:pPr>
    <w:rPr>
      <w:rFonts w:ascii="Arial" w:hAnsi="Arial"/>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Note" w:type="paragraph">
    <w:name w:val="Small Note"/>
    <w:pPr>
      <w:spacing w:after="60"/>
    </w:pPr>
    <w:rPr>
      <w:rFonts w:ascii="Arial" w:hAnsi="Arial"/>
      <w:color w:val="505050"/>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Hyperlink">
    <w:name w:val="Hyperlink"/>
    <w:rPr>
      <w:rFonts w:ascii="Aptos" w:hAnsi="Aptos"/>
      <w:color w:val="2B6F8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7" Type="http://schemas.openxmlformats.org/officeDocument/2006/relationships/hyperlink" Target="https://corporate.celestica.com/news-releases/news-release-details/celestica-host-2026-investor-and-analyst-day-october-27-2026" TargetMode="External"/><Relationship Id="rId60" Type="http://schemas.openxmlformats.org/officeDocument/2006/relationships/hyperlink" Target="https://investor.oracle.com/faq/default.aspx" TargetMode="External"/><Relationship Id="rId61" Type="http://schemas.openxmlformats.org/officeDocument/2006/relationships/hyperlink" Target="https://investor.oracle.com/investor-news/news-details/2026/Oracle-Announces-Q1-Results-Driven-by-Triple-Digit-Growth-in-Cloud-Infrastructure-Revenues/default.aspx" TargetMode="External"/><Relationship Id="rId58" Type="http://schemas.openxmlformats.org/officeDocument/2006/relationships/hyperlink" Target="https://investor.sandisk.com/news-events/events" TargetMode="External"/><Relationship Id="rId59" Type="http://schemas.openxmlformats.org/officeDocument/2006/relationships/hyperlink" Target="https://investor.sandisk.com/news-releases/news-release-details/sandisk-reports-fiscal-fourth-quarter-2026-financial-results" TargetMode="External"/><Relationship Id="rId63" Type="http://schemas.openxmlformats.org/officeDocument/2006/relationships/hyperlink" Target="https://investors.coreweave.com/news/news-details/2026/CoreWeave-Continues-to-Contract-New-Compute-Capacity-at-Higher-Prices/default.aspx" TargetMode="External"/><Relationship Id="rId55" Type="http://schemas.openxmlformats.org/officeDocument/2006/relationships/hyperlink" Target="https://ir.applieddigital.com/news-events/ir-calendar" TargetMode="External"/><Relationship Id="rId65" Type="http://schemas.openxmlformats.org/officeDocument/2006/relationships/hyperlink" Target="https://nebius.com/investor-events" TargetMode="External"/><Relationship Id="rId66" Type="http://schemas.openxmlformats.org/officeDocument/2006/relationships/hyperlink" Target="https://nebius.com/newsroom/nebius-raises-775-million-in-first-secured-debt-financing-to-accelerate-global-buildout" TargetMode="External"/><Relationship Id="rId67" Type="http://schemas.openxmlformats.org/officeDocument/2006/relationships/hyperlink" Target="https://nebius.com/newsroom/nebius-signs-new-ai-infrastructure-agreement-with-meta" TargetMode="External"/><Relationship Id="rId56" Type="http://schemas.openxmlformats.org/officeDocument/2006/relationships/hyperlink" Target="https://www.sec.gov/Archives/edgar/data/1144879/000114487926000048/apld-20260531.htm" TargetMode="External"/><Relationship Id="rId62" Type="http://schemas.openxmlformats.org/officeDocument/2006/relationships/hyperlink" Target="https://www.sec.gov/Archives/edgar/data/1769628/000176962826000366/crwv-20260630.htm" TargetMode="External"/><Relationship Id="rId64" Type="http://schemas.openxmlformats.org/officeDocument/2006/relationships/hyperlink" Target="https://www.sec.gov/Archives/edgar/data/1878848/000187884826000052/iren-20260630.htm"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corporate.celestica.com/news-releases/news-release-details/celestica-host-2026-investor-and-analyst-day-october-27-2026" TargetMode="External"/><Relationship Id="rId60" Type="http://schemas.openxmlformats.org/officeDocument/2006/relationships/hyperlink" Target="https://investor.oracle.com/faq/default.aspx" TargetMode="External"/><Relationship Id="rId61" Type="http://schemas.openxmlformats.org/officeDocument/2006/relationships/hyperlink" Target="https://investor.oracle.com/investor-news/news-details/2026/Oracle-Announces-Q1-Results-Driven-by-Triple-Digit-Growth-in-Cloud-Infrastructure-Revenues/default.aspx" TargetMode="External"/><Relationship Id="rId58" Type="http://schemas.openxmlformats.org/officeDocument/2006/relationships/hyperlink" Target="https://investor.sandisk.com/news-events/events" TargetMode="External"/><Relationship Id="rId59" Type="http://schemas.openxmlformats.org/officeDocument/2006/relationships/hyperlink" Target="https://investor.sandisk.com/news-releases/news-release-details/sandisk-reports-fiscal-fourth-quarter-2026-financial-results" TargetMode="External"/><Relationship Id="rId63" Type="http://schemas.openxmlformats.org/officeDocument/2006/relationships/hyperlink" Target="https://investors.coreweave.com/news/news-details/2026/CoreWeave-Continues-to-Contract-New-Compute-Capacity-at-Higher-Prices/default.aspx" TargetMode="External"/><Relationship Id="rId55" Type="http://schemas.openxmlformats.org/officeDocument/2006/relationships/hyperlink" Target="https://ir.applieddigital.com/news-events/ir-calendar" TargetMode="External"/><Relationship Id="rId65" Type="http://schemas.openxmlformats.org/officeDocument/2006/relationships/hyperlink" Target="https://nebius.com/investor-events" TargetMode="External"/><Relationship Id="rId66" Type="http://schemas.openxmlformats.org/officeDocument/2006/relationships/hyperlink" Target="https://nebius.com/newsroom/nebius-raises-775-million-in-first-secured-debt-financing-to-accelerate-global-buildout" TargetMode="External"/><Relationship Id="rId67" Type="http://schemas.openxmlformats.org/officeDocument/2006/relationships/hyperlink" Target="https://nebius.com/newsroom/nebius-signs-new-ai-infrastructure-agreement-with-meta" TargetMode="External"/><Relationship Id="rId56" Type="http://schemas.openxmlformats.org/officeDocument/2006/relationships/hyperlink" Target="https://www.sec.gov/Archives/edgar/data/1144879/000114487926000048/apld-20260531.htm" TargetMode="External"/><Relationship Id="rId62" Type="http://schemas.openxmlformats.org/officeDocument/2006/relationships/hyperlink" Target="https://www.sec.gov/Archives/edgar/data/1769628/000176962826000366/crwv-20260630.htm" TargetMode="External"/><Relationship Id="rId64" Type="http://schemas.openxmlformats.org/officeDocument/2006/relationships/hyperlink" Target="https://www.sec.gov/Archives/edgar/data/1878848/000187884826000052/iren-2026063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Catalyst Analysis</dc:title>
  <dc:creator>Catalyst Analyst</dc:creator>
  <cp:keywords>catalysts, enterprise value, accepted capacity, infrastructure, margin normalization</cp:keywords>
  <dcterms:created xsi:type="dcterms:W3CDTF">2026-10-01T09:16:58Z</dcterms:created>
  <dcterms:modified xsi:type="dcterms:W3CDTF">2026-10-01T09:16:58Z</dcterms:modified>
  <dc:subject>CRWV ORCL APLD IREN NBIS CLS SNDK catalysts and valuation implications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 of October 1, 2026 | USD unless stated otherwise</vt:lpwstr>
  </property>
  <property fmtid="{D5CDD505-2E9C-101B-9397-08002B2CF9AE}" pid="3" name="subtitle">
    <vt:lpwstr>CRWV ORCL APLD IREN NBIS CLS SNDK</vt:lpwstr>
  </property>
</Properties>
</file>