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160"/>
        <w:jc w:val="left"/>
      </w:pPr>
      <w:r>
        <w:rPr>
          <w:rFonts w:ascii="Aptos" w:hAnsi="Aptos" w:eastAsia="Aptos"/>
          <w:b/>
          <w:color w:val="000000"/>
          <w:sz w:val="50"/>
        </w:rPr>
        <w:t>Valuation and Market Setup Supervisor Handoff</w:t>
      </w:r>
    </w:p>
    <w:p>
      <w:pPr>
        <w:spacing w:after="560"/>
      </w:pPr>
      <w:r>
        <w:rPr>
          <w:rFonts w:ascii="Aptos" w:hAnsi="Aptos" w:eastAsia="Aptos"/>
          <w:b/>
          <w:color w:val="17365D"/>
          <w:sz w:val="26"/>
        </w:rPr>
        <w:t>CRWV  ORCL  APLD  IREN  NBIS  CLS  SNDK</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8"/>
              </w:rPr>
              <w:t>Field</w:t>
            </w:r>
          </w:p>
        </w:tc>
        <w:tc>
          <w:tcPr>
            <w:tcW w:type="dxa" w:w="82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8"/>
              </w:rPr>
              <w:t>Handoff detail</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As-of date</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September 30, 2026 market close; disclosures checked October 1, 2026</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Prior specialist</w:t>
            </w:r>
          </w:p>
        </w:tc>
        <w:tc>
          <w:tcPr>
            <w:tcW w:type="dxa" w:w="82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8"/>
              </w:rPr>
              <w:t>Catalyst Analyst</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Current specialist</w:t>
            </w:r>
          </w:p>
        </w:tc>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Valuation and Market Setup Analyst</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Purpose</w:t>
            </w:r>
          </w:p>
        </w:tc>
        <w:tc>
          <w:tcPr>
            <w:tcW w:type="dxa" w:w="820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8"/>
              </w:rPr>
              <w:t>Preserve the controlling record and direct the next analyst toward evidence capable of changing valuation confidence.</w:t>
            </w:r>
          </w:p>
        </w:tc>
      </w:tr>
    </w:tbl>
    <w:p>
      <w:pPr>
        <w:spacing w:after="20"/>
      </w:pPr>
    </w:p>
    <w:p>
      <w:pPr>
        <w:pStyle w:val="Heading1"/>
        <w:keepNext/>
        <w:spacing w:before="240" w:after="100"/>
      </w:pPr>
      <w:r>
        <w:rPr>
          <w:rFonts w:ascii="Aptos" w:hAnsi="Aptos" w:eastAsia="Aptos"/>
          <w:b/>
          <w:color w:val="000000"/>
          <w:sz w:val="30"/>
        </w:rPr>
        <w:t>Purpose and governing conclusion</w:t>
      </w:r>
    </w:p>
    <w:p>
      <w:pPr>
        <w:keepLines w:val="0"/>
        <w:spacing w:before="0" w:after="120" w:line="259" w:lineRule="auto"/>
      </w:pPr>
      <w:r>
        <w:rPr>
          <w:rFonts w:ascii="Aptos" w:hAnsi="Aptos" w:eastAsia="Aptos"/>
          <w:color w:val="000000"/>
        </w:rPr>
        <w:t>This document is the complete downstream briefing for continued monitoring of the seven-company cohort. The next analyst should update only facts that changed after October 1, reconcile capacity by site and stage, and connect each operational change to enterprise value, capital requirements, dilution, and free cash flow.</w:t>
      </w:r>
    </w:p>
    <w:p>
      <w:pPr>
        <w:keepLines w:val="0"/>
        <w:spacing w:before="0" w:after="120" w:line="259" w:lineRule="auto"/>
      </w:pPr>
      <w:r>
        <w:rPr>
          <w:rFonts w:ascii="Aptos" w:hAnsi="Aptos" w:eastAsia="Aptos"/>
          <w:b/>
          <w:color w:val="000000"/>
        </w:rPr>
        <w:t>Governing conclusion:</w:t>
      </w:r>
      <w:r>
        <w:rPr>
          <w:rFonts w:ascii="Aptos" w:hAnsi="Aptos" w:eastAsia="Aptos"/>
          <w:color w:val="000000"/>
        </w:rPr>
        <w:t xml:space="preserve"> No disclosure available through October 1 moved a company across a material execution stage. Contracted, financed, constructed, energized, commissioned, or announced capacity remains distinct from customer-accepted, revenue-producing capacity.</w:t>
      </w:r>
    </w:p>
    <w:p>
      <w:pPr>
        <w:keepLines w:val="0"/>
        <w:spacing w:before="0" w:after="120" w:line="259" w:lineRule="auto"/>
      </w:pPr>
      <w:r>
        <w:rPr>
          <w:rFonts w:ascii="Aptos" w:hAnsi="Aptos" w:eastAsia="Aptos"/>
          <w:b/>
          <w:color w:val="000000"/>
        </w:rPr>
        <w:t>Boundary:</w:t>
      </w:r>
      <w:r>
        <w:rPr>
          <w:rFonts w:ascii="Aptos" w:hAnsi="Aptos" w:eastAsia="Aptos"/>
          <w:color w:val="000000"/>
        </w:rPr>
        <w:t xml:space="preserve"> This is a research handoff, not an investment recommendation. Do not provide buy, sell, hold, personalized advice, or unsupported price targets.</w:t>
      </w:r>
    </w:p>
    <w:p>
      <w:r>
        <w:br w:type="page"/>
      </w:r>
    </w:p>
    <w:p>
      <w:pPr>
        <w:pStyle w:val="Heading1"/>
        <w:keepNext/>
        <w:spacing w:before="240" w:after="100"/>
      </w:pPr>
      <w:r>
        <w:rPr>
          <w:rFonts w:ascii="Aptos" w:hAnsi="Aptos" w:eastAsia="Aptos"/>
          <w:b/>
          <w:color w:val="000000"/>
          <w:sz w:val="30"/>
        </w:rPr>
        <w:t>1  Assignment and controlling rules</w:t>
      </w:r>
    </w:p>
    <w:p>
      <w:pPr>
        <w:keepLines w:val="0"/>
        <w:spacing w:before="0" w:after="120" w:line="259" w:lineRule="auto"/>
      </w:pPr>
      <w:r>
        <w:rPr>
          <w:rFonts w:ascii="Aptos" w:hAnsi="Aptos" w:eastAsia="Aptos"/>
          <w:b/>
          <w:color w:val="000000"/>
        </w:rPr>
        <w:t>Assignment:</w:t>
      </w:r>
      <w:r>
        <w:rPr>
          <w:rFonts w:ascii="Aptos" w:hAnsi="Aptos" w:eastAsia="Aptos"/>
          <w:color w:val="000000"/>
        </w:rPr>
        <w:t xml:space="preserve"> Continue valuation and market-setup monitoring for CRWV, ORCL, APLD, IREN, NBIS, CLS, and SNDK. Identify only developments capable of changing earnings expectations, valuation, investor perception, financing risk, or execution probability.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Rule</w:t>
            </w:r>
          </w:p>
        </w:tc>
        <w:tc>
          <w:tcPr>
            <w:tcW w:type="dxa" w:w="806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Required treatment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Enterprise value</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Use fully diluted enterprise value. Include material debt, leases, minority interests, contingent obligations, and dilution where disclosed. Conventional EV materially understates CRWV and ORCL infrastructure obligations.</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Revenue capacity</w:t>
            </w:r>
          </w:p>
        </w:tc>
        <w:tc>
          <w:tcPr>
            <w:tcW w:type="dxa" w:w="806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Count capacity as current revenue only after service availability, customer acceptance where applicable, and revenue production are evidenced.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Stage discipline</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Do not equate land, power rights, contracted power, construction, energization, installed GPUs, commissioning, or backlog with accepted service.</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Unit valuation</w:t>
            </w:r>
          </w:p>
        </w:tc>
        <w:tc>
          <w:tcPr>
            <w:tcW w:type="dxa" w:w="806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Define the denominator. State whether MW refers to utility power, connected load, IT load, accepted IT load, or revenue-producing load.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Price action</w:t>
            </w:r>
          </w:p>
        </w:tc>
        <w:tc>
          <w:tcPr>
            <w:tcW w:type="dxa" w:w="80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Treat price action as evidence about expectations and positioning, not proof that the market is correct.</w:t>
            </w:r>
          </w:p>
        </w:tc>
      </w:tr>
      <w:t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Missing evidence</w:t>
            </w:r>
          </w:p>
        </w:tc>
        <w:tc>
          <w:tcPr>
            <w:tcW w:type="dxa" w:w="806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Mark absent, stale, or conflicting information explicitly. Do not fill gaps with invented consensus, capacity, project economics, or positioning data.</w:t>
            </w:r>
          </w:p>
        </w:tc>
      </w:tr>
    </w:tbl>
    <w:p>
      <w:pPr>
        <w:spacing w:after="20"/>
      </w:pPr>
    </w:p>
    <w:p>
      <w:pPr>
        <w:pStyle w:val="Heading2"/>
        <w:keepNext/>
        <w:spacing w:before="160" w:after="100"/>
      </w:pPr>
      <w:r>
        <w:rPr>
          <w:rFonts w:ascii="Aptos" w:hAnsi="Aptos" w:eastAsia="Aptos"/>
          <w:b/>
          <w:color w:val="000000"/>
          <w:sz w:val="24"/>
        </w:rPr>
        <w:t>Stage transition test</w:t>
      </w:r>
    </w:p>
    <w:p>
      <w:pPr>
        <w:keepLines w:val="0"/>
        <w:spacing w:before="0" w:after="120" w:line="259" w:lineRule="auto"/>
      </w:pPr>
      <w:r>
        <w:rPr>
          <w:rFonts w:ascii="Aptos" w:hAnsi="Aptos" w:eastAsia="Aptos"/>
          <w:color w:val="000000"/>
        </w:rPr>
        <w:t>Use the following project-stage ladder. Update a project only when primary evidence supports a real transition; cite the source and date.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50" w:type="dxa"/>
              <w:start w:w="100" w:type="dxa"/>
              <w:bottom w:w="50" w:type="dxa"/>
              <w:end w:w="100" w:type="dxa"/>
            </w:tcMar>
            <w:vAlign w:val="center"/>
          </w:tcPr>
          <w:p>
            <w:pPr>
              <w:spacing w:after="0"/>
              <w:jc w:val="center"/>
            </w:pPr>
            <w:r>
              <w:rPr>
                <w:rFonts w:ascii="Aptos" w:hAnsi="Aptos" w:eastAsia="Aptos"/>
                <w:b/>
                <w:color w:val="FFFFFF"/>
                <w:sz w:val="15"/>
              </w:rPr>
              <w:t>Stage</w:t>
            </w:r>
          </w:p>
        </w:tc>
        <w:tc>
          <w:tcPr>
            <w:tcW w:type="dxa" w:w="9072"/>
            <w:shd w:fill="17365D"/>
            <w:tcBorders>
              <w:top w:val="single" w:sz="6" w:color="D9D9D9"/>
              <w:left w:val="single" w:sz="6" w:color="D9D9D9"/>
              <w:bottom w:val="single" w:sz="6" w:color="D9D9D9"/>
              <w:right w:val="single" w:sz="6" w:color="D9D9D9"/>
              <w:insideH w:val="single" w:sz="6" w:color="D9D9D9"/>
              <w:insideV w:val="single" w:sz="6" w:color="D9D9D9"/>
            </w:tcBorders>
            <w:tcMar>
              <w:top w:w="50" w:type="dxa"/>
              <w:start w:w="100" w:type="dxa"/>
              <w:bottom w:w="50" w:type="dxa"/>
              <w:end w:w="100" w:type="dxa"/>
            </w:tcMar>
            <w:vAlign w:val="center"/>
          </w:tcPr>
          <w:p>
            <w:pPr>
              <w:spacing w:after="0"/>
              <w:jc w:val="center"/>
            </w:pPr>
            <w:r>
              <w:rPr>
                <w:rFonts w:ascii="Aptos" w:hAnsi="Aptos" w:eastAsia="Aptos"/>
                <w:b/>
                <w:color w:val="FFFFFF"/>
                <w:sz w:val="15"/>
              </w:rPr>
              <w:t>Definition</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0</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jc w:val="center"/>
            </w:pPr>
            <w:r>
              <w:rPr>
                <w:rFonts w:ascii="Aptos" w:hAnsi="Aptos" w:eastAsia="Aptos"/>
                <w:color w:val="000000"/>
                <w:sz w:val="15"/>
              </w:rPr>
              <w:t>Concept or target</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1</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Site or land controlled</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2</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jc w:val="center"/>
            </w:pPr>
            <w:r>
              <w:rPr>
                <w:rFonts w:ascii="Aptos" w:hAnsi="Aptos" w:eastAsia="Aptos"/>
                <w:color w:val="000000"/>
                <w:sz w:val="15"/>
              </w:rPr>
              <w:t>Power secured</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3</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Financing committed</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4</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Construction started</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5</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jc w:val="center"/>
            </w:pPr>
            <w:r>
              <w:rPr>
                <w:rFonts w:ascii="Aptos" w:hAnsi="Aptos" w:eastAsia="Aptos"/>
                <w:color w:val="000000"/>
                <w:sz w:val="15"/>
              </w:rPr>
              <w:t>Energized</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6</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Equipment installed</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7</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Commissioned or available</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8</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jc w:val="center"/>
            </w:pPr>
            <w:r>
              <w:rPr>
                <w:rFonts w:ascii="Aptos" w:hAnsi="Aptos" w:eastAsia="Aptos"/>
                <w:color w:val="000000"/>
                <w:sz w:val="15"/>
              </w:rPr>
              <w:t>Customer accepted</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pPr>
            <w:r>
              <w:rPr>
                <w:rFonts w:ascii="Aptos" w:hAnsi="Aptos" w:eastAsia="Aptos"/>
                <w:color w:val="000000"/>
                <w:sz w:val="15"/>
              </w:rPr>
              <w:t>9</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50" w:type="dxa"/>
              <w:start w:w="120" w:type="dxa"/>
              <w:bottom w:w="50" w:type="dxa"/>
              <w:end w:w="120" w:type="dxa"/>
            </w:tcMar>
            <w:vAlign w:val="center"/>
          </w:tcPr>
          <w:p>
            <w:pPr>
              <w:spacing w:after="0" w:line="240" w:lineRule="auto"/>
              <w:jc w:val="center"/>
            </w:pPr>
            <w:r>
              <w:rPr>
                <w:rFonts w:ascii="Aptos" w:hAnsi="Aptos" w:eastAsia="Aptos"/>
                <w:color w:val="000000"/>
                <w:sz w:val="15"/>
              </w:rPr>
              <w:t>Revenue-producing</w:t>
            </w:r>
          </w:p>
        </w:tc>
      </w:tr>
    </w:tbl>
    <w:p>
      <w:pPr>
        <w:spacing w:after="20"/>
      </w:pPr>
    </w:p>
    <w:p>
      <w:pPr>
        <w:pStyle w:val="Heading1"/>
        <w:keepNext/>
        <w:spacing w:before="240" w:after="100"/>
      </w:pPr>
      <w:r>
        <w:rPr>
          <w:rFonts w:ascii="Aptos" w:hAnsi="Aptos" w:eastAsia="Aptos"/>
          <w:b/>
          <w:color w:val="000000"/>
          <w:sz w:val="30"/>
        </w:rPr>
        <w:t>2  Valuation anchors and market requirements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Ticker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Anchor</w:t>
            </w:r>
          </w:p>
        </w:tc>
        <w:tc>
          <w:tcPr>
            <w:tcW w:type="dxa" w:w="734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What the price appears to require</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CRWV</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$78.0B FD EV</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Capacity must become available and utilized at pricing sufficient to cover interest, leases, depreciation, and GPU replacement.</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ORCL</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$504.6B FD EV</w:t>
            </w:r>
          </w:p>
        </w:tc>
        <w:tc>
          <w:tcPr>
            <w:tcW w:type="dxa" w:w="734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OCI growth and RPO conversion must earn returns above funding costs and about $288B of future data-center lease commitments.</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APLD</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$11.4B FD EV</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Value requires conversion beyond 175 MW live, plus credible funding and tenant possession for later campuses.</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IREN</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$17.85B FD EV</w:t>
            </w:r>
          </w:p>
        </w:tc>
        <w:tc>
          <w:tcPr>
            <w:tcW w:type="dxa" w:w="734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Horizon capacity must reach acceptance and revenue at durable utilization; risk-adjusted future IT is about 0.35-0.38 GW.</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NBIS</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$67.5B FD EV</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Rapid contract conversion, high utilization, and scalable financing are required; 5 GW land and power is not operating IT.</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CLS</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$41.9B FD EV</w:t>
            </w:r>
          </w:p>
        </w:tc>
        <w:tc>
          <w:tcPr>
            <w:tcW w:type="dxa" w:w="7343"/>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FY27 program ramps and HPS mix must sustain margins above the 6.5%-7.0% full-cycle range.</w:t>
            </w:r>
          </w:p>
        </w:tc>
      </w:tr>
      <w:t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SNDK</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$269.2B FD EV</w:t>
            </w:r>
          </w:p>
        </w:tc>
        <w:tc>
          <w:tcPr>
            <w:tcW w:type="dxa" w:w="734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The price capitalizes unusually strong NAND pricing and current-scale margins; retain both normalization methods.</w:t>
            </w:r>
          </w:p>
        </w:tc>
      </w:tr>
    </w:tbl>
    <w:p>
      <w:pPr>
        <w:spacing w:after="20"/>
      </w:pPr>
    </w:p>
    <w:p>
      <w:pPr>
        <w:pStyle w:val="Heading2"/>
        <w:keepNext/>
        <w:spacing w:before="160" w:after="100"/>
      </w:pPr>
      <w:r>
        <w:rPr>
          <w:rFonts w:ascii="Aptos" w:hAnsi="Aptos" w:eastAsia="Aptos"/>
          <w:b/>
          <w:color w:val="000000"/>
          <w:sz w:val="24"/>
        </w:rPr>
        <w:t>Unit valuation construction</w:t>
      </w:r>
    </w:p>
    <w:p>
      <w:pPr>
        <w:pStyle w:val="ListBullet"/>
        <w:spacing w:after="60" w:line="250" w:lineRule="auto"/>
        <w:ind w:left="360" w:hanging="216"/>
      </w:pPr>
      <w:r>
        <w:rPr>
          <w:rFonts w:ascii="Aptos" w:hAnsi="Aptos" w:eastAsia="Aptos"/>
          <w:color w:val="000000"/>
        </w:rPr>
        <w:t>APLD: $11.4B divided by approximately 797 risk-adjusted future IT MW equals about $14.3M per MW. Only 175 MW supports current revenue.</w:t>
      </w:r>
    </w:p>
    <w:p>
      <w:pPr>
        <w:pStyle w:val="ListBullet"/>
        <w:spacing w:after="60" w:line="250" w:lineRule="auto"/>
        <w:ind w:left="360" w:hanging="216"/>
      </w:pPr>
      <w:r>
        <w:rPr>
          <w:rFonts w:ascii="Aptos" w:hAnsi="Aptos" w:eastAsia="Aptos"/>
          <w:color w:val="000000"/>
        </w:rPr>
        <w:t>IREN: $17.85B divided by approximately 350-380 risk-adjusted future IT MW equals about $47-51M per MW. The numerator also includes Bitcoin and cloud-stack value, so the metric is not a pure data-center comparison.</w:t>
      </w:r>
    </w:p>
    <w:p>
      <w:pPr>
        <w:pStyle w:val="ListBullet"/>
        <w:spacing w:after="60" w:line="250" w:lineRule="auto"/>
        <w:ind w:left="360" w:hanging="216"/>
      </w:pPr>
      <w:r>
        <w:rPr>
          <w:rFonts w:ascii="Aptos" w:hAnsi="Aptos" w:eastAsia="Aptos"/>
          <w:color w:val="000000"/>
        </w:rPr>
        <w:t>NBIS: No supportable EV-per-MW calculation. Operating IT MW is undisclosed and the 5 GW figure is land and power.</w:t>
      </w:r>
    </w:p>
    <w:p>
      <w:pPr>
        <w:pStyle w:val="ListBullet"/>
        <w:spacing w:after="60" w:line="250" w:lineRule="auto"/>
        <w:ind w:left="360" w:hanging="216"/>
      </w:pPr>
      <w:r>
        <w:rPr>
          <w:rFonts w:ascii="Aptos" w:hAnsi="Aptos" w:eastAsia="Aptos"/>
          <w:color w:val="000000"/>
        </w:rPr>
        <w:t>CLS: $41.9B FD EV is about 29-32 times normalized FY26 operating profit using a 6.5%-7.0% margin.</w:t>
      </w:r>
    </w:p>
    <w:p>
      <w:pPr>
        <w:pStyle w:val="ListBullet"/>
        <w:spacing w:after="60" w:line="250" w:lineRule="auto"/>
        <w:ind w:left="360" w:hanging="216"/>
      </w:pPr>
      <w:r>
        <w:rPr>
          <w:rFonts w:ascii="Aptos" w:hAnsi="Aptos" w:eastAsia="Aptos"/>
          <w:color w:val="000000"/>
        </w:rPr>
        <w:t>SNDK: $269.2B FD EV is about 20-21 times operating profit under the 26%-28% current-scale method and about 55 times under the approximately 10% historical-cycle method.</w:t>
      </w:r>
    </w:p>
    <w:p>
      <w:r>
        <w:br w:type="page"/>
      </w:r>
    </w:p>
    <w:p>
      <w:pPr>
        <w:pStyle w:val="Heading1"/>
        <w:keepNext/>
        <w:spacing w:before="240" w:after="100"/>
      </w:pPr>
      <w:r>
        <w:rPr>
          <w:rFonts w:ascii="Aptos" w:hAnsi="Aptos" w:eastAsia="Aptos"/>
          <w:b/>
          <w:color w:val="000000"/>
          <w:sz w:val="30"/>
        </w:rPr>
        <w:t>3  Market setup through September 30</w:t>
      </w:r>
    </w:p>
    <w:p>
      <w:pPr>
        <w:keepLines w:val="0"/>
        <w:spacing w:before="0" w:after="120" w:line="259" w:lineRule="auto"/>
      </w:pPr>
      <w:r>
        <w:rPr>
          <w:rFonts w:ascii="Aptos" w:hAnsi="Aptos" w:eastAsia="Aptos"/>
          <w:color w:val="000000"/>
        </w:rPr>
        <w:t>Returns below are price returns. Six-month observations marked not established were not consistently available from the retrieved public source and should be completed before the next full comparative report.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Ticker</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1D</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5D</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1M</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3M</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6M</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12M</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CRWV</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+1.38%</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+0.25%</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+3.43%</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-12.48%</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+25.99%</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-36.34%</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ORCL</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-0.36%</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-5.02%</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-8.98%</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-6.31%</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-1.08%</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-51.18%</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APLD</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-4.09%</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-7.16%</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-3.83%</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-34.66%</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Not established</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+6.23%</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IREN</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-1.21%</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-7.33%</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+11.07%</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-5.60%</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Not established</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-13.14%</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NBIS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-0.62%</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-0.61%</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+18.21%</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+2.92%</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Not established</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+104.03%</w:t>
            </w:r>
          </w:p>
        </w:tc>
      </w:tr>
      <w:t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CLS</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-1.38%</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-0.92%</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+23.66%</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-0.03%</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Not established</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+43.66%</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SNDK</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+0.59%</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-2.13%</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+13.21%</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-14.38%</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Not established</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+1,336.50%</w:t>
            </w:r>
          </w:p>
        </w:tc>
      </w:tr>
    </w:tbl>
    <w:p>
      <w:pPr>
        <w:spacing w:after="20"/>
      </w:pPr>
    </w:p>
    <w:p>
      <w:pPr>
        <w:keepLines w:val="0"/>
        <w:spacing w:before="0" w:after="120" w:line="259" w:lineRule="auto"/>
      </w:pPr>
      <w:r>
        <w:rPr>
          <w:rFonts w:ascii="Aptos" w:hAnsi="Aptos" w:eastAsia="Aptos"/>
          <w:b/>
          <w:color w:val="000000"/>
        </w:rPr>
        <w:t>Benchmark:</w:t>
      </w:r>
      <w:r>
        <w:rPr>
          <w:rFonts w:ascii="Aptos" w:hAnsi="Aptos" w:eastAsia="Aptos"/>
          <w:color w:val="000000"/>
        </w:rPr>
        <w:t xml:space="preserve"> QQQ returned +0.21% for one day, +3.12% for one month, +1.99% for three months, and +23.81% for 12 months. CRWV, ORCL, APLD, and IREN lagged over the available longer periods, while NBIS, CLS, and SNDK retained larger expectation premiums.</w:t>
      </w:r>
    </w:p>
    <w:p>
      <w:pPr>
        <w:pStyle w:val="Heading2"/>
        <w:keepNext/>
        <w:spacing w:before="160" w:after="100"/>
      </w:pPr>
      <w:r>
        <w:rPr>
          <w:rFonts w:ascii="Aptos" w:hAnsi="Aptos" w:eastAsia="Aptos"/>
          <w:b/>
          <w:color w:val="000000"/>
          <w:sz w:val="24"/>
        </w:rPr>
        <w:t>Interpretation for the next analyst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Ticker</w:t>
            </w:r>
          </w:p>
        </w:tc>
        <w:tc>
          <w:tcPr>
            <w:tcW w:type="dxa" w:w="90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Market-setup reading</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CRWV</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The September 17 pricing update was followed by a negative same-day reaction. Demand evidence improved, but financing and cash-return concerns remained dominant.</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ORCL</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Severe 12-month underperformance despite AI demand indicates valuation compression around capital intensity, funding, and long-dated commitments.</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APLD</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The three-month decline indicates reduced delivery confidence ahead of October 7; accepted MW and the funding bridge remain decisive.</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IREN</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Positive one-month but negative three- and 12-month performance reflects optimism about contracted AI demand alongside acceptance and financing skepticism.</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NBIS</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Strong 12-month performance despite operating-MW opacity creates a high burden for site-level disclosure and conversion.</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CLS</w:t>
            </w:r>
          </w:p>
        </w:tc>
        <w:tc>
          <w:tcPr>
            <w:tcW w:type="dxa" w:w="907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Strong one-month performance raises the expectations bar for FY27 growth, HPS mix, inventory conversion, and margin durability.</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SNDK</w:t>
            </w:r>
          </w:p>
        </w:tc>
        <w:tc>
          <w:tcPr>
            <w:tcW w:type="dxa" w:w="90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Extraordinary 12-month appreciation makes pricing persistence and cycle normalization more important than a routine earnings beat.</w:t>
            </w:r>
          </w:p>
        </w:tc>
      </w:tr>
    </w:tbl>
    <w:p>
      <w:pPr>
        <w:spacing w:after="20"/>
      </w:pPr>
    </w:p>
    <w:p>
      <w:pPr>
        <w:pStyle w:val="Heading2"/>
        <w:keepNext/>
        <w:spacing w:before="160" w:after="100"/>
      </w:pPr>
      <w:r>
        <w:rPr>
          <w:rFonts w:ascii="Aptos" w:hAnsi="Aptos" w:eastAsia="Aptos"/>
          <w:b/>
          <w:color w:val="000000"/>
          <w:sz w:val="24"/>
        </w:rPr>
        <w:t>Positioning and estimate revisions</w:t>
      </w:r>
    </w:p>
    <w:p>
      <w:pPr>
        <w:keepLines w:val="0"/>
        <w:spacing w:before="0" w:after="120" w:line="259" w:lineRule="auto"/>
      </w:pPr>
      <w:r>
        <w:rPr>
          <w:rFonts w:ascii="Aptos" w:hAnsi="Aptos" w:eastAsia="Aptos"/>
          <w:color w:val="000000"/>
        </w:rPr>
        <w:t>A consistent public consensus-revision series, reliable options-implied moves, and consistently dated short-interest observations were not established. Do not infer positioning from price performance or isolated commentary. Complete these fields only with dated sources and stated denominators.</w:t>
      </w:r>
    </w:p>
    <w:p>
      <w:pPr>
        <w:pStyle w:val="Heading1"/>
        <w:keepNext/>
        <w:spacing w:before="240" w:after="100"/>
      </w:pPr>
      <w:r>
        <w:rPr>
          <w:rFonts w:ascii="Aptos" w:hAnsi="Aptos" w:eastAsia="Aptos"/>
          <w:b/>
          <w:color w:val="000000"/>
          <w:sz w:val="30"/>
        </w:rPr>
        <w:t>4  Catalyst calendar and event priorities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Date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Event</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Status</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Highest-value evidence</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October 7, 2026</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APLD Q1 FY27</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Confirmed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Accepted MW, recurring rent, possession dates, funding and cost-to-complete</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October 27, 2026</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CLS Q3 and investor day</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Confirmed</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FY27 program readiness, HPS mix, inventory conversion and normalized margin</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October 29, 2026</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SNDK FQ1 FY27</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Confirmed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Revenue, 83%-85% gross margin, revenue per GB, exabytes and NBM economics</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November 2026</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CRWV Q3</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Estimated</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Available capacity, utilization, backlog conversion and lease-adjusted cash flow</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November 2026</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NBIS Q3</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Estimated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Operating IT MW, utilization, deferred revenue and asset returns</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Q4 2026</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IREN Horizon 2-4</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Target window</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Customer acceptance, non-overlapping MW reconciliation and utilization</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December 14, 2026</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ORCL Q2 FY27</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Confirmed</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OCI growth, RPO conversion, capex, leases, prepayments and free cash flow</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First half 2027</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APLD PF1 and PF2 possession</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Delivery window</w:t>
            </w:r>
          </w:p>
        </w:tc>
        <w:tc>
          <w:tcPr>
            <w:tcW w:type="dxa" w:w="475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Tenant possession, rent commencement and project economics</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Early 2027</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NBIS Meta service</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jc w:val="center"/>
            </w:pPr>
            <w:r>
              <w:rPr>
                <w:rFonts w:ascii="Aptos" w:hAnsi="Aptos" w:eastAsia="Aptos"/>
                <w:color w:val="000000"/>
                <w:sz w:val="16"/>
              </w:rPr>
              <w:t>Delivery window</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Accepted service, recognized revenue and asset-level financing</w:t>
            </w:r>
          </w:p>
        </w:tc>
      </w:tr>
    </w:tbl>
    <w:p>
      <w:pPr>
        <w:spacing w:after="20"/>
      </w:pPr>
    </w:p>
    <w:p>
      <w:pPr>
        <w:pStyle w:val="Heading1"/>
        <w:keepNext/>
        <w:spacing w:before="240" w:after="100"/>
      </w:pPr>
      <w:r>
        <w:rPr>
          <w:rFonts w:ascii="Aptos" w:hAnsi="Aptos" w:eastAsia="Aptos"/>
          <w:b/>
          <w:color w:val="000000"/>
          <w:sz w:val="30"/>
        </w:rPr>
        <w:t>5  Immediate work package for APLD</w:t>
      </w:r>
    </w:p>
    <w:p>
      <w:pPr>
        <w:keepLines w:val="0"/>
        <w:spacing w:before="0" w:after="120" w:line="259" w:lineRule="auto"/>
      </w:pPr>
      <w:r>
        <w:rPr>
          <w:rFonts w:ascii="Aptos" w:hAnsi="Aptos" w:eastAsia="Aptos"/>
          <w:color w:val="000000"/>
        </w:rPr>
        <w:t>APLD is the next required review because its October 7 results are the nearest confirmed event and its valuation depends on converting physical capacity into accepted, recurring rent.</w:t>
      </w:r>
    </w:p>
    <w:p>
      <w:pPr>
        <w:pStyle w:val="ListBullet"/>
        <w:spacing w:after="60" w:line="250" w:lineRule="auto"/>
        <w:ind w:left="360" w:hanging="216"/>
      </w:pPr>
      <w:r>
        <w:rPr>
          <w:rFonts w:ascii="Aptos" w:hAnsi="Aptos" w:eastAsia="Aptos"/>
          <w:color w:val="000000"/>
        </w:rPr>
        <w:t>Reconcile every building by stage: construction, energized, commissioned, tenant-accepted, and revenue-producing.</w:t>
      </w:r>
    </w:p>
    <w:p>
      <w:pPr>
        <w:pStyle w:val="ListBullet"/>
        <w:spacing w:after="60" w:line="250" w:lineRule="auto"/>
        <w:ind w:left="360" w:hanging="216"/>
      </w:pPr>
      <w:r>
        <w:rPr>
          <w:rFonts w:ascii="Aptos" w:hAnsi="Aptos" w:eastAsia="Aptos"/>
          <w:color w:val="000000"/>
        </w:rPr>
        <w:t>Do not raise the 175 MW current-revenue denominator without explicit customer acceptance and revenue evidence.</w:t>
      </w:r>
    </w:p>
    <w:p>
      <w:pPr>
        <w:pStyle w:val="ListBullet"/>
        <w:spacing w:after="60" w:line="250" w:lineRule="auto"/>
        <w:ind w:left="360" w:hanging="216"/>
      </w:pPr>
      <w:r>
        <w:rPr>
          <w:rFonts w:ascii="Aptos" w:hAnsi="Aptos" w:eastAsia="Aptos"/>
          <w:color w:val="000000"/>
        </w:rPr>
        <w:t>Separate recurring rental revenue from tenant fit-out, development, or other nonrecurring services.</w:t>
      </w:r>
    </w:p>
    <w:p>
      <w:pPr>
        <w:pStyle w:val="ListBullet"/>
        <w:spacing w:after="60" w:line="250" w:lineRule="auto"/>
        <w:ind w:left="360" w:hanging="216"/>
      </w:pPr>
      <w:r>
        <w:rPr>
          <w:rFonts w:ascii="Aptos" w:hAnsi="Aptos" w:eastAsia="Aptos"/>
          <w:color w:val="000000"/>
        </w:rPr>
        <w:t>Capture possession and rent-commencement dates by building, not only campus-level delivery windows.</w:t>
      </w:r>
    </w:p>
    <w:p>
      <w:pPr>
        <w:pStyle w:val="ListBullet"/>
        <w:spacing w:after="60" w:line="250" w:lineRule="auto"/>
        <w:ind w:left="360" w:hanging="216"/>
      </w:pPr>
      <w:r>
        <w:rPr>
          <w:rFonts w:ascii="Aptos" w:hAnsi="Aptos" w:eastAsia="Aptos"/>
          <w:color w:val="000000"/>
        </w:rPr>
        <w:t>Reconcile committed financing, restricted cash, remaining cost-to-complete, completion guarantees, and capitalized interest.</w:t>
      </w:r>
    </w:p>
    <w:p>
      <w:pPr>
        <w:pStyle w:val="ListBullet"/>
        <w:spacing w:after="60" w:line="250" w:lineRule="auto"/>
        <w:ind w:left="360" w:hanging="216"/>
      </w:pPr>
      <w:r>
        <w:rPr>
          <w:rFonts w:ascii="Aptos" w:hAnsi="Aptos" w:eastAsia="Aptos"/>
          <w:color w:val="000000"/>
        </w:rPr>
        <w:t>Identify whether later-campus funding requires corporate cash, asset-level debt, partner capital, or equity dilution.</w:t>
      </w:r>
    </w:p>
    <w:p>
      <w:pPr>
        <w:pStyle w:val="ListBullet"/>
        <w:spacing w:after="60" w:line="250" w:lineRule="auto"/>
        <w:ind w:left="360" w:hanging="216"/>
      </w:pPr>
      <w:r>
        <w:rPr>
          <w:rFonts w:ascii="Aptos" w:hAnsi="Aptos" w:eastAsia="Aptos"/>
          <w:color w:val="000000"/>
        </w:rPr>
        <w:t>Recalculate EV per accepted MW and EV per risk-adjusted future MW using the same dated FD EV numerator.</w:t>
      </w:r>
    </w:p>
    <w:p>
      <w:pPr>
        <w:pStyle w:val="ListBullet"/>
        <w:spacing w:after="60" w:line="250" w:lineRule="auto"/>
        <w:ind w:left="360" w:hanging="216"/>
      </w:pPr>
      <w:r>
        <w:rPr>
          <w:rFonts w:ascii="Aptos" w:hAnsi="Aptos" w:eastAsia="Aptos"/>
          <w:color w:val="000000"/>
        </w:rPr>
        <w:t>Record the stock reaction after results, but separate the reaction from the fundamental evidence.</w:t>
      </w:r>
    </w:p>
    <w:p>
      <w:pPr>
        <w:pStyle w:val="Heading2"/>
        <w:keepNext/>
        <w:spacing w:before="160" w:after="100"/>
      </w:pPr>
      <w:r>
        <w:rPr>
          <w:rFonts w:ascii="Aptos" w:hAnsi="Aptos" w:eastAsia="Aptos"/>
          <w:b/>
          <w:color w:val="000000"/>
          <w:sz w:val="24"/>
        </w:rPr>
        <w:t>APLD scenario bridge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Scenario</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Operational path</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6"/>
              </w:rPr>
              <w:t>Valuation transmission</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Bull</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Acceptance occurs near the front of delivery windows; recurring rent rises; later projects receive lower-cost committed funding; cost-to-complete remains controlled.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More future MW receives credit and financing discount narrows.</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Base</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PF1 and PF2 progress broadly within guidance; acceptance is staggered; later-campus funding remains incomplete but manageable.</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175 MW supports current revenue; later capacity retains execution and financing discounts.</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Bear</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Possession slips, fit-out revenue obscures recurring rent, costs rise, or completion obligations require corporate funding or dilution.</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6"/>
              </w:rPr>
              <w:t>Risk-adjusted MW falls and the equity absorbs a larger financing burden.</w:t>
            </w:r>
          </w:p>
        </w:tc>
      </w:tr>
    </w:tbl>
    <w:p>
      <w:pPr>
        <w:spacing w:after="20"/>
      </w:pPr>
    </w:p>
    <w:p>
      <w:pPr>
        <w:pStyle w:val="Heading1"/>
        <w:keepNext/>
        <w:spacing w:before="240" w:after="100"/>
      </w:pPr>
      <w:r>
        <w:rPr>
          <w:rFonts w:ascii="Aptos" w:hAnsi="Aptos" w:eastAsia="Aptos"/>
          <w:b/>
          <w:color w:val="000000"/>
          <w:sz w:val="30"/>
        </w:rPr>
        <w:t>6  Company-specific downstream instructions</w:t>
      </w:r>
    </w:p>
    <w:p>
      <w:pPr>
        <w:pStyle w:val="Heading2"/>
        <w:keepNext/>
        <w:spacing w:before="160" w:after="100"/>
      </w:pPr>
      <w:r>
        <w:rPr>
          <w:rFonts w:ascii="Aptos" w:hAnsi="Aptos" w:eastAsia="Aptos"/>
          <w:b/>
          <w:color w:val="000000"/>
          <w:sz w:val="24"/>
        </w:rPr>
        <w:t>CRWV  CoreWeave</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$78.0B FD EV. Contracted power and backlog do not equal available compute or equity cash flow.</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Available capacity, utilization, price and tenor by GPU cohort, backlog conversion, interest, leases, maintenance and replacement capex.</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Lease-adjusted debt, maturity ladder, contract-to-asset tenor matching, GPU useful life, residual value and customer concentration.</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Durable utilization and pricing with falling funding spreads and positive cash returns after all infrastructure claims.</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Capacity delivery without cash conversion, refinancing mismatch, faster obsolescence, or replacement capex above assumptions.</w:t>
      </w:r>
    </w:p>
    <w:p>
      <w:pPr>
        <w:pStyle w:val="Heading2"/>
        <w:keepNext/>
        <w:spacing w:before="160" w:after="100"/>
      </w:pPr>
      <w:r>
        <w:rPr>
          <w:rFonts w:ascii="Aptos" w:hAnsi="Aptos" w:eastAsia="Aptos"/>
          <w:b/>
          <w:color w:val="000000"/>
          <w:sz w:val="24"/>
        </w:rPr>
        <w:t>ORCL  Oracle</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$504.6B FD EV before approximately $288B of future data-center lease commitments. Q2 FY27 results are confirmed for December 14.</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OCI growth and gross profit, RPO and 12-month conversion share, capex, lease commencements, customer prepayments, operating cash flow and free cash flow.</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Project-level AI economics, customer concentration, BYOH and prepaid structures, utilization, renewal economics, and returns on 15-19 year commitments.</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OCI gross profit and cash conversion rise faster than the full funding and lease burden.</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RPO grows while near-term conversion weakens, capex exceeds guidance, or long-lived obligations commence ahead of demand.</w:t>
      </w:r>
    </w:p>
    <w:p>
      <w:pPr>
        <w:pStyle w:val="Heading2"/>
        <w:keepNext/>
        <w:spacing w:before="160" w:after="100"/>
      </w:pPr>
      <w:r>
        <w:rPr>
          <w:rFonts w:ascii="Aptos" w:hAnsi="Aptos" w:eastAsia="Aptos"/>
          <w:b/>
          <w:color w:val="000000"/>
          <w:sz w:val="24"/>
        </w:rPr>
        <w:t>IREN  IREN Limited</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At least 50 MW accepted; a separate 40 MW operating disclosure may overlap. Risk-adjusted future IT is about 0.35-0.38 GW.</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Horizon 2-4 customer acceptance, revenue-producing MW, utilization, AI revenue per MW, loan draw conditions, financing cost and site-level reconciliation.</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Overlap between 40 MW and 50 MW, timing within contractual grace periods, customer concentration, and total site capex beyond financed GPUs.</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Accepted capacity reaches the target window with transparent utilization and financing below the upper end of the disclosed range.</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Installed capacity is reported without acceptance, delivery slips materially, utilization disappoints, or Bitcoin cash subsidizes AI expansion.</w:t>
      </w:r>
    </w:p>
    <w:p>
      <w:pPr>
        <w:pStyle w:val="Heading2"/>
        <w:keepNext/>
        <w:spacing w:before="160" w:after="100"/>
      </w:pPr>
      <w:r>
        <w:rPr>
          <w:rFonts w:ascii="Aptos" w:hAnsi="Aptos" w:eastAsia="Aptos"/>
          <w:b/>
          <w:color w:val="000000"/>
          <w:sz w:val="24"/>
        </w:rPr>
        <w:t>NBIS  Nebius</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$67.5B FD EV and about 21.1 times 2026 revenue midpoint. Operating IT MW is undisclosed; 5 GW is land and power.</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Accepted IT MW by site, utilization, AI cloud revenue, ARR methodology, deferred-revenue conversion, depreciation and asset-level returns.</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Conversion from gross power to connected IT load, economics of Microsoft and Meta tranches, capex by site, and financing scalability.</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A site-level operating bridge proves contract conversion and attractive returns after financing.</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Management repeats power or contract targets without accepted capacity, utilization, recognized revenue, or return disclosure.</w:t>
      </w:r>
    </w:p>
    <w:p>
      <w:pPr>
        <w:pStyle w:val="Heading2"/>
        <w:keepNext/>
        <w:spacing w:before="160" w:after="100"/>
      </w:pPr>
      <w:r>
        <w:rPr>
          <w:rFonts w:ascii="Aptos" w:hAnsi="Aptos" w:eastAsia="Aptos"/>
          <w:b/>
          <w:color w:val="000000"/>
          <w:sz w:val="24"/>
        </w:rPr>
        <w:t>CLS  Celestica</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$41.9B FD EV. Use 6.5%-7.0% as the full-cycle normalized operating margin rather than assuming the guided 8.4% level is permanent.</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Q3 revenue, adjusted margin, HPS mix, FY27 capacity and customer readiness, inventory, capex, working capital and shipment conversion.</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Program-level economics, three-customer concentration, production readiness, component supply and durability of high-margin mix.</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FY27 growth is supported by customer readiness, shipment conversion, and durable mix rather than inventory accumulation.</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Ramps slip, working capital grows without shipments, or margins converge rapidly toward normalized levels.</w:t>
      </w:r>
    </w:p>
    <w:p>
      <w:pPr>
        <w:pStyle w:val="Heading2"/>
        <w:keepNext/>
        <w:spacing w:before="160" w:after="100"/>
      </w:pPr>
      <w:r>
        <w:rPr>
          <w:rFonts w:ascii="Aptos" w:hAnsi="Aptos" w:eastAsia="Aptos"/>
          <w:b/>
          <w:color w:val="000000"/>
          <w:sz w:val="24"/>
        </w:rPr>
        <w:t>SNDK  Sandisk</w:t>
      </w:r>
    </w:p>
    <w:p>
      <w:pPr>
        <w:keepLines w:val="0"/>
        <w:spacing w:before="0" w:after="60" w:line="259" w:lineRule="auto"/>
      </w:pPr>
      <w:r>
        <w:rPr>
          <w:rFonts w:ascii="Aptos" w:hAnsi="Aptos" w:eastAsia="Aptos"/>
          <w:b/>
          <w:color w:val="000000"/>
        </w:rPr>
        <w:t>Controlling facts:</w:t>
      </w:r>
      <w:r>
        <w:rPr>
          <w:rFonts w:ascii="Aptos" w:hAnsi="Aptos" w:eastAsia="Aptos"/>
          <w:color w:val="000000"/>
        </w:rPr>
        <w:t xml:space="preserve"> $269.2B FD EV. Retain both approximately 10% historical-cycle and 26%-28% current-scale operating-margin methods.</w:t>
      </w:r>
    </w:p>
    <w:p>
      <w:pPr>
        <w:keepLines w:val="0"/>
        <w:spacing w:before="0" w:after="60" w:line="259" w:lineRule="auto"/>
      </w:pPr>
      <w:r>
        <w:rPr>
          <w:rFonts w:ascii="Aptos" w:hAnsi="Aptos" w:eastAsia="Aptos"/>
          <w:b/>
          <w:color w:val="000000"/>
        </w:rPr>
        <w:t>Confirm:</w:t>
      </w:r>
      <w:r>
        <w:rPr>
          <w:rFonts w:ascii="Aptos" w:hAnsi="Aptos" w:eastAsia="Aptos"/>
          <w:color w:val="000000"/>
        </w:rPr>
        <w:t xml:space="preserve"> Revenue versus $10.3-$10.8B guidance, gross margin versus 83%-85%, revenue per GB, exabyte growth, NBM volumes and pricing, BiCS yields, JV spending and adjusted FCF.</w:t>
      </w:r>
    </w:p>
    <w:p>
      <w:pPr>
        <w:keepLines w:val="0"/>
        <w:spacing w:before="0" w:after="60" w:line="259" w:lineRule="auto"/>
      </w:pPr>
      <w:r>
        <w:rPr>
          <w:rFonts w:ascii="Aptos" w:hAnsi="Aptos" w:eastAsia="Aptos"/>
          <w:b/>
          <w:color w:val="000000"/>
        </w:rPr>
        <w:t>Unresolved:</w:t>
      </w:r>
      <w:r>
        <w:rPr>
          <w:rFonts w:ascii="Aptos" w:hAnsi="Aptos" w:eastAsia="Aptos"/>
          <w:color w:val="000000"/>
        </w:rPr>
        <w:t xml:space="preserve"> NBM reset formulas, price floors, downside protection, customer inventory, and whether volume and yield can offset NAND ASP normalization.</w:t>
      </w:r>
    </w:p>
    <w:p>
      <w:pPr>
        <w:keepLines w:val="0"/>
        <w:spacing w:before="0" w:after="60" w:line="259" w:lineRule="auto"/>
      </w:pPr>
      <w:r>
        <w:rPr>
          <w:rFonts w:ascii="Aptos" w:hAnsi="Aptos" w:eastAsia="Aptos"/>
          <w:b/>
          <w:color w:val="000000"/>
        </w:rPr>
        <w:t>Rerating evidence:</w:t>
      </w:r>
      <w:r>
        <w:rPr>
          <w:rFonts w:ascii="Aptos" w:hAnsi="Aptos" w:eastAsia="Aptos"/>
          <w:color w:val="000000"/>
        </w:rPr>
        <w:t xml:space="preserve"> Strong volume and yield evidence supports durable current-scale economics beyond a price-driven peak.</w:t>
      </w:r>
    </w:p>
    <w:p>
      <w:pPr>
        <w:keepLines w:val="0"/>
        <w:spacing w:before="0" w:after="60" w:line="259" w:lineRule="auto"/>
      </w:pPr>
      <w:r>
        <w:rPr>
          <w:rFonts w:ascii="Aptos" w:hAnsi="Aptos" w:eastAsia="Aptos"/>
          <w:b/>
          <w:color w:val="000000"/>
        </w:rPr>
        <w:t>Derating evidence:</w:t>
      </w:r>
      <w:r>
        <w:rPr>
          <w:rFonts w:ascii="Aptos" w:hAnsi="Aptos" w:eastAsia="Aptos"/>
          <w:color w:val="000000"/>
        </w:rPr>
        <w:t xml:space="preserve"> ASP and gross margin reverse before volume, NBM economics, or cost improvements can offset the decline.</w:t>
      </w:r>
    </w:p>
    <w:p>
      <w:pPr>
        <w:pStyle w:val="Heading1"/>
        <w:keepNext/>
        <w:spacing w:before="240" w:after="100"/>
      </w:pPr>
      <w:r>
        <w:rPr>
          <w:rFonts w:ascii="Aptos" w:hAnsi="Aptos" w:eastAsia="Aptos"/>
          <w:b/>
          <w:color w:val="000000"/>
          <w:sz w:val="30"/>
        </w:rPr>
        <w:t>7  Cross-company operational scenarios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Scenario</w:t>
            </w:r>
          </w:p>
        </w:tc>
        <w:tc>
          <w:tcPr>
            <w:tcW w:type="dxa" w:w="89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Coherent operating path</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Bull</w:t>
            </w:r>
          </w:p>
        </w:tc>
        <w:tc>
          <w:tcPr>
            <w:tcW w:type="dxa" w:w="8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APLD and IREN achieve timely acceptance; NBIS discloses operating capacity and utilization; CRWV and ORCL demonstrate cash returns after financing; CLS sustains favorable mix; SNDK supports current-scale margins with volume, yields and NBM economics.</w:t>
            </w:r>
          </w:p>
        </w:tc>
      </w:tr>
      <w:t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Base</w:t>
            </w:r>
          </w:p>
        </w:tc>
        <w:tc>
          <w:tcPr>
            <w:tcW w:type="dxa" w:w="8928"/>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Delivery broadly meets stated windows, but acceptance is staggered and financing remains material. CLS margins moderate toward full-cycle levels. SNDK retains a wide valuation range because neither normalization method is disproved.</w:t>
            </w:r>
          </w:p>
        </w:tc>
      </w:tr>
      <w:t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Bear</w:t>
            </w:r>
          </w:p>
        </w:tc>
        <w:tc>
          <w:tcPr>
            <w:tcW w:type="dxa" w:w="89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Acceptance slips, utilization or pricing weakens, and capital needs produce higher interest expense or dilution. CLS program mix disappoints, while NAND pricing reverses before volume and cost improvements offset it.</w:t>
            </w:r>
          </w:p>
        </w:tc>
      </w:tr>
    </w:tbl>
    <w:p>
      <w:pPr>
        <w:spacing w:after="20"/>
      </w:pPr>
    </w:p>
    <w:p>
      <w:pPr>
        <w:pStyle w:val="Heading1"/>
        <w:keepNext/>
        <w:spacing w:before="240" w:after="100"/>
      </w:pPr>
      <w:r>
        <w:rPr>
          <w:rFonts w:ascii="Aptos" w:hAnsi="Aptos" w:eastAsia="Aptos"/>
          <w:b/>
          <w:color w:val="000000"/>
          <w:sz w:val="30"/>
        </w:rPr>
        <w:t>8  Required next-agent workflow</w:t>
      </w:r>
    </w:p>
    <w:p>
      <w:pPr>
        <w:pStyle w:val="ListBullet"/>
        <w:spacing w:after="60" w:line="250" w:lineRule="auto"/>
        <w:ind w:left="360" w:hanging="216"/>
      </w:pPr>
      <w:r>
        <w:rPr>
          <w:rFonts w:ascii="Aptos" w:hAnsi="Aptos" w:eastAsia="Aptos"/>
          <w:color w:val="000000"/>
        </w:rPr>
        <w:t>Check issuer investor-relations calendars and SEC filings for new dates or results.</w:t>
      </w:r>
    </w:p>
    <w:p>
      <w:pPr>
        <w:pStyle w:val="ListBullet"/>
        <w:spacing w:after="60" w:line="250" w:lineRule="auto"/>
        <w:ind w:left="360" w:hanging="216"/>
      </w:pPr>
      <w:r>
        <w:rPr>
          <w:rFonts w:ascii="Aptos" w:hAnsi="Aptos" w:eastAsia="Aptos"/>
          <w:color w:val="000000"/>
        </w:rPr>
        <w:t>Create a change log against this handoff before drafting conclusions.</w:t>
      </w:r>
    </w:p>
    <w:p>
      <w:pPr>
        <w:pStyle w:val="ListBullet"/>
        <w:spacing w:after="60" w:line="250" w:lineRule="auto"/>
        <w:ind w:left="360" w:hanging="216"/>
      </w:pPr>
      <w:r>
        <w:rPr>
          <w:rFonts w:ascii="Aptos" w:hAnsi="Aptos" w:eastAsia="Aptos"/>
          <w:color w:val="000000"/>
        </w:rPr>
        <w:t>Reconcile each data-center project by site and stage before changing current revenue capacity.</w:t>
      </w:r>
    </w:p>
    <w:p>
      <w:pPr>
        <w:pStyle w:val="ListBullet"/>
        <w:spacing w:after="60" w:line="250" w:lineRule="auto"/>
        <w:ind w:left="360" w:hanging="216"/>
      </w:pPr>
      <w:r>
        <w:rPr>
          <w:rFonts w:ascii="Aptos" w:hAnsi="Aptos" w:eastAsia="Aptos"/>
          <w:color w:val="000000"/>
        </w:rPr>
        <w:t>Recalculate valuation only with a dated share price, fully diluted share count, unrestricted cash, debt, leases, contingent obligations and minority interests.</w:t>
      </w:r>
    </w:p>
    <w:p>
      <w:pPr>
        <w:pStyle w:val="ListBullet"/>
        <w:spacing w:after="60" w:line="250" w:lineRule="auto"/>
        <w:ind w:left="360" w:hanging="216"/>
      </w:pPr>
      <w:r>
        <w:rPr>
          <w:rFonts w:ascii="Aptos" w:hAnsi="Aptos" w:eastAsia="Aptos"/>
          <w:color w:val="000000"/>
        </w:rPr>
        <w:t>Separate reported facts, management guidance, consensus estimates, derived calculations and analyst judgment.</w:t>
      </w:r>
    </w:p>
    <w:p>
      <w:pPr>
        <w:pStyle w:val="ListBullet"/>
        <w:spacing w:after="60" w:line="250" w:lineRule="auto"/>
        <w:ind w:left="360" w:hanging="216"/>
      </w:pPr>
      <w:r>
        <w:rPr>
          <w:rFonts w:ascii="Aptos" w:hAnsi="Aptos" w:eastAsia="Aptos"/>
          <w:color w:val="000000"/>
        </w:rPr>
        <w:t>Compare price performance with QQQ, a relevant sector benchmark, closest peers and a named theme basket using the same dates and return convention.</w:t>
      </w:r>
    </w:p>
    <w:p>
      <w:pPr>
        <w:pStyle w:val="ListBullet"/>
        <w:spacing w:after="60" w:line="250" w:lineRule="auto"/>
        <w:ind w:left="360" w:hanging="216"/>
      </w:pPr>
      <w:r>
        <w:rPr>
          <w:rFonts w:ascii="Aptos" w:hAnsi="Aptos" w:eastAsia="Aptos"/>
          <w:color w:val="000000"/>
        </w:rPr>
        <w:t>Record earnings or news reactions, but avoid attributing causation without supporting evidence.</w:t>
      </w:r>
    </w:p>
    <w:p>
      <w:pPr>
        <w:pStyle w:val="ListBullet"/>
        <w:spacing w:after="60" w:line="250" w:lineRule="auto"/>
        <w:ind w:left="360" w:hanging="216"/>
      </w:pPr>
      <w:r>
        <w:rPr>
          <w:rFonts w:ascii="Aptos" w:hAnsi="Aptos" w:eastAsia="Aptos"/>
          <w:color w:val="000000"/>
        </w:rPr>
        <w:t>Deliver bull, base and bear operational paths that connect revenue, margins, capital needs, dilution and FCF conversion.</w:t>
      </w:r>
    </w:p>
    <w:p>
      <w:pPr>
        <w:pStyle w:val="Heading1"/>
        <w:keepNext/>
        <w:spacing w:before="240" w:after="100"/>
      </w:pPr>
      <w:r>
        <w:rPr>
          <w:rFonts w:ascii="Aptos" w:hAnsi="Aptos" w:eastAsia="Aptos"/>
          <w:b/>
          <w:color w:val="000000"/>
          <w:sz w:val="30"/>
        </w:rPr>
        <w:t>9  Required downstream output</w:t>
      </w:r>
    </w:p>
    <w:p>
      <w:pPr>
        <w:pStyle w:val="ListBullet"/>
        <w:spacing w:after="60" w:line="250" w:lineRule="auto"/>
        <w:ind w:left="360" w:hanging="216"/>
      </w:pPr>
      <w:r>
        <w:rPr>
          <w:rFonts w:ascii="Aptos" w:hAnsi="Aptos" w:eastAsia="Aptos"/>
          <w:color w:val="000000"/>
        </w:rPr>
        <w:t>Current valuation and material EV adjustments</w:t>
      </w:r>
    </w:p>
    <w:p>
      <w:pPr>
        <w:pStyle w:val="ListBullet"/>
        <w:spacing w:after="60" w:line="250" w:lineRule="auto"/>
        <w:ind w:left="360" w:hanging="216"/>
      </w:pPr>
      <w:r>
        <w:rPr>
          <w:rFonts w:ascii="Aptos" w:hAnsi="Aptos" w:eastAsia="Aptos"/>
          <w:color w:val="000000"/>
        </w:rPr>
        <w:t>Historical and peer valuation where comparable</w:t>
      </w:r>
    </w:p>
    <w:p>
      <w:pPr>
        <w:pStyle w:val="ListBullet"/>
        <w:spacing w:after="60" w:line="250" w:lineRule="auto"/>
        <w:ind w:left="360" w:hanging="216"/>
      </w:pPr>
      <w:r>
        <w:rPr>
          <w:rFonts w:ascii="Aptos" w:hAnsi="Aptos" w:eastAsia="Aptos"/>
          <w:color w:val="000000"/>
        </w:rPr>
        <w:t>Industry-specific unit valuation with denominator definitions</w:t>
      </w:r>
    </w:p>
    <w:p>
      <w:pPr>
        <w:pStyle w:val="ListBullet"/>
        <w:spacing w:after="60" w:line="250" w:lineRule="auto"/>
        <w:ind w:left="360" w:hanging="216"/>
      </w:pPr>
      <w:r>
        <w:rPr>
          <w:rFonts w:ascii="Aptos" w:hAnsi="Aptos" w:eastAsia="Aptos"/>
          <w:color w:val="000000"/>
        </w:rPr>
        <w:t>What the current price appears to require</w:t>
      </w:r>
    </w:p>
    <w:p>
      <w:pPr>
        <w:pStyle w:val="ListBullet"/>
        <w:spacing w:after="60" w:line="250" w:lineRule="auto"/>
        <w:ind w:left="360" w:hanging="216"/>
      </w:pPr>
      <w:r>
        <w:rPr>
          <w:rFonts w:ascii="Aptos" w:hAnsi="Aptos" w:eastAsia="Aptos"/>
          <w:color w:val="000000"/>
        </w:rPr>
        <w:t>Bull, base and bear operational scenarios</w:t>
      </w:r>
    </w:p>
    <w:p>
      <w:pPr>
        <w:pStyle w:val="ListBullet"/>
        <w:spacing w:after="60" w:line="250" w:lineRule="auto"/>
        <w:ind w:left="360" w:hanging="216"/>
      </w:pPr>
      <w:r>
        <w:rPr>
          <w:rFonts w:ascii="Aptos" w:hAnsi="Aptos" w:eastAsia="Aptos"/>
          <w:color w:val="000000"/>
        </w:rPr>
        <w:t>1D, 5D, 1M, 3M, 6M and 12M price performance</w:t>
      </w:r>
    </w:p>
    <w:p>
      <w:pPr>
        <w:pStyle w:val="ListBullet"/>
        <w:spacing w:after="60" w:line="250" w:lineRule="auto"/>
        <w:ind w:left="360" w:hanging="216"/>
      </w:pPr>
      <w:r>
        <w:rPr>
          <w:rFonts w:ascii="Aptos" w:hAnsi="Aptos" w:eastAsia="Aptos"/>
          <w:color w:val="000000"/>
        </w:rPr>
        <w:t>Relative performance and estimate-revision divergence</w:t>
      </w:r>
    </w:p>
    <w:p>
      <w:pPr>
        <w:pStyle w:val="ListBullet"/>
        <w:spacing w:after="60" w:line="250" w:lineRule="auto"/>
        <w:ind w:left="360" w:hanging="216"/>
      </w:pPr>
      <w:r>
        <w:rPr>
          <w:rFonts w:ascii="Aptos" w:hAnsi="Aptos" w:eastAsia="Aptos"/>
          <w:color w:val="000000"/>
        </w:rPr>
        <w:t>Earnings or news reaction and positioning data</w:t>
      </w:r>
    </w:p>
    <w:p>
      <w:pPr>
        <w:pStyle w:val="ListBullet"/>
        <w:spacing w:after="60" w:line="250" w:lineRule="auto"/>
        <w:ind w:left="360" w:hanging="216"/>
      </w:pPr>
      <w:r>
        <w:rPr>
          <w:rFonts w:ascii="Aptos" w:hAnsi="Aptos" w:eastAsia="Aptos"/>
          <w:color w:val="000000"/>
        </w:rPr>
        <w:t>Valuation risk and market-setup risk</w:t>
      </w:r>
    </w:p>
    <w:p>
      <w:pPr>
        <w:pStyle w:val="ListBullet"/>
        <w:spacing w:after="60" w:line="250" w:lineRule="auto"/>
        <w:ind w:left="360" w:hanging="216"/>
      </w:pPr>
      <w:r>
        <w:rPr>
          <w:rFonts w:ascii="Aptos" w:hAnsi="Aptos" w:eastAsia="Aptos"/>
          <w:color w:val="000000"/>
        </w:rPr>
        <w:t>Rerating and derating triggers</w:t>
      </w:r>
    </w:p>
    <w:p>
      <w:pPr>
        <w:pStyle w:val="ListBullet"/>
        <w:spacing w:after="60" w:line="250" w:lineRule="auto"/>
        <w:ind w:left="360" w:hanging="216"/>
      </w:pPr>
      <w:r>
        <w:rPr>
          <w:rFonts w:ascii="Aptos" w:hAnsi="Aptos" w:eastAsia="Aptos"/>
          <w:color w:val="000000"/>
        </w:rPr>
        <w:t>Data limitations and evidence-quality assessment</w:t>
      </w:r>
    </w:p>
    <w:p>
      <w:pPr>
        <w:pStyle w:val="ListBullet"/>
        <w:spacing w:after="60" w:line="250" w:lineRule="auto"/>
        <w:ind w:left="360" w:hanging="216"/>
      </w:pPr>
      <w:r>
        <w:rPr>
          <w:rFonts w:ascii="Aptos" w:hAnsi="Aptos" w:eastAsia="Aptos"/>
          <w:color w:val="000000"/>
        </w:rPr>
        <w:t>A final supervisor handoff that states what changed and what remains unresolved</w:t>
      </w:r>
    </w:p>
    <w:p>
      <w:pPr>
        <w:pStyle w:val="Heading1"/>
        <w:keepNext/>
        <w:spacing w:before="240" w:after="100"/>
      </w:pPr>
      <w:r>
        <w:rPr>
          <w:rFonts w:ascii="Aptos" w:hAnsi="Aptos" w:eastAsia="Aptos"/>
          <w:b/>
          <w:color w:val="000000"/>
          <w:sz w:val="30"/>
        </w:rPr>
        <w:t>10  Evidence quality and limitations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Quality</w:t>
            </w:r>
          </w:p>
        </w:tc>
        <w:tc>
          <w:tcPr>
            <w:tcW w:type="dxa" w:w="87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spacing w:after="0"/>
              <w:jc w:val="center"/>
            </w:pPr>
            <w:r>
              <w:rPr>
                <w:rFonts w:ascii="Aptos" w:hAnsi="Aptos" w:eastAsia="Aptos"/>
                <w:b/>
                <w:color w:val="FFFFFF"/>
                <w:sz w:val="17"/>
              </w:rPr>
              <w:t>Assessment</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High</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Issuer calendars, SEC filings, earnings releases, reported financials and disclosed financing terms.</w:t>
            </w:r>
          </w:p>
        </w:tc>
      </w:tr>
      <w:t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Medium</w:t>
            </w:r>
          </w:p>
        </w:tc>
        <w:tc>
          <w:tcPr>
            <w:tcW w:type="dxa" w:w="87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Fully diluted valuation anchors, market-price histories and project-stage synthesis, subject to denominator consistency.</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Medium-low</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Consensus expectations, capacity comparability and investor positioning because complete dated series were unavailable.</w:t>
            </w:r>
          </w:p>
        </w:tc>
      </w:tr>
      <w:t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Missing</w:t>
            </w:r>
          </w:p>
        </w:tc>
        <w:tc>
          <w:tcPr>
            <w:tcW w:type="dxa" w:w="8712"/>
            <w:shd w:fill="F3F7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40" w:lineRule="auto"/>
            </w:pPr>
            <w:r>
              <w:rPr>
                <w:rFonts w:ascii="Aptos" w:hAnsi="Aptos" w:eastAsia="Aptos"/>
                <w:color w:val="000000"/>
                <w:sz w:val="17"/>
              </w:rPr>
              <w:t>NBIS operating IT MW; APLD later-campus full funding; IREN overlap resolution; CRWV asset-life matching; ORCL project returns; CLS program economics; SNDK NBM reset formulas.</w:t>
            </w:r>
          </w:p>
        </w:tc>
      </w:tr>
    </w:tbl>
    <w:p>
      <w:pPr>
        <w:spacing w:after="20"/>
      </w:pPr>
    </w:p>
    <w:p>
      <w:pPr>
        <w:keepLines w:val="0"/>
        <w:spacing w:before="0" w:after="120" w:line="259" w:lineRule="auto"/>
      </w:pPr>
      <w:r>
        <w:rPr>
          <w:rFonts w:ascii="Aptos" w:hAnsi="Aptos" w:eastAsia="Aptos"/>
          <w:b/>
          <w:color w:val="000000"/>
        </w:rPr>
        <w:t>Confidence:</w:t>
      </w:r>
      <w:r>
        <w:rPr>
          <w:rFonts w:ascii="Aptos" w:hAnsi="Aptos" w:eastAsia="Aptos"/>
          <w:color w:val="000000"/>
        </w:rPr>
        <w:t xml:space="preserve"> High that no execution gate changed through October 1. Medium for comparative valuation and market-expectations conclusions because the weakest material inputs are capacity comparability, lease-adjusted obligations, and missing consensus and positioning histories.</w:t>
      </w:r>
    </w:p>
    <w:p>
      <w:pPr>
        <w:pStyle w:val="Heading1"/>
        <w:keepNext/>
        <w:spacing w:before="240" w:after="100"/>
      </w:pPr>
      <w:r>
        <w:rPr>
          <w:rFonts w:ascii="Aptos" w:hAnsi="Aptos" w:eastAsia="Aptos"/>
          <w:b/>
          <w:color w:val="000000"/>
          <w:sz w:val="30"/>
        </w:rPr>
        <w:t>11  Source register</w:t>
      </w:r>
    </w:p>
    <w:p>
      <w:pPr>
        <w:keepLines w:val="0"/>
        <w:spacing w:before="0" w:after="60" w:line="259" w:lineRule="auto"/>
      </w:pPr>
      <w:r>
        <w:rPr>
          <w:rFonts w:ascii="Aptos" w:hAnsi="Aptos" w:eastAsia="Aptos"/>
          <w:b/>
          <w:color w:val="000000"/>
        </w:rPr>
        <w:t>Uploaded controlling handoff:</w:t>
      </w:r>
      <w:r>
        <w:rPr>
          <w:rFonts w:ascii="Aptos" w:hAnsi="Aptos" w:eastAsia="Aptos"/>
          <w:color w:val="000000"/>
        </w:rPr>
        <w:t xml:space="preserve"> comparative_catalyst_analysis_2026-10-01.docx</w:t>
      </w:r>
    </w:p>
    <w:p>
      <w:pPr>
        <w:spacing w:after="60"/>
      </w:pPr>
      <w:r>
        <w:rPr>
          <w:rFonts w:ascii="Aptos" w:hAnsi="Aptos" w:eastAsia="Aptos"/>
          <w:b/>
          <w:color w:val="000000"/>
          <w:sz w:val="18"/>
        </w:rPr>
        <w:t xml:space="preserve">Applied Digital October 7 event: </w:t>
      </w:r>
      <w:hyperlink r:id="rId11">
        <w:r>
          <w:rPr>
            <w:color w:val="17365D"/>
            <w:u w:val="single"/>
          </w:rPr>
          <w:t>https://ir.applieddigital.com/news-events/press-releases/detail/160/applied-digital-sets-fiscal-first-quarter-2027-conference</w:t>
        </w:r>
      </w:hyperlink>
    </w:p>
    <w:p>
      <w:pPr>
        <w:spacing w:after="60"/>
      </w:pPr>
      <w:r>
        <w:rPr>
          <w:rFonts w:ascii="Aptos" w:hAnsi="Aptos" w:eastAsia="Aptos"/>
          <w:b/>
          <w:color w:val="000000"/>
          <w:sz w:val="18"/>
        </w:rPr>
        <w:t xml:space="preserve">Celestica October 27 event: </w:t>
      </w:r>
      <w:hyperlink r:id="rId12">
        <w:r>
          <w:rPr>
            <w:color w:val="17365D"/>
            <w:u w:val="single"/>
          </w:rPr>
          <w:t>https://corporate.celestica.com/news-releases/news-release-details/celestica-host-2026-investor-and-analyst-day-october-27-2026</w:t>
        </w:r>
      </w:hyperlink>
    </w:p>
    <w:p>
      <w:pPr>
        <w:spacing w:after="60"/>
      </w:pPr>
      <w:r>
        <w:rPr>
          <w:rFonts w:ascii="Aptos" w:hAnsi="Aptos" w:eastAsia="Aptos"/>
          <w:b/>
          <w:color w:val="000000"/>
          <w:sz w:val="18"/>
        </w:rPr>
        <w:t xml:space="preserve">Sandisk October 29 event: </w:t>
      </w:r>
      <w:hyperlink r:id="rId13">
        <w:r>
          <w:rPr>
            <w:color w:val="17365D"/>
            <w:u w:val="single"/>
          </w:rPr>
          <w:t>https://investor.sandisk.com/news-events/news-releases</w:t>
        </w:r>
      </w:hyperlink>
    </w:p>
    <w:p>
      <w:pPr>
        <w:spacing w:after="60"/>
      </w:pPr>
      <w:r>
        <w:rPr>
          <w:rFonts w:ascii="Aptos" w:hAnsi="Aptos" w:eastAsia="Aptos"/>
          <w:b/>
          <w:color w:val="000000"/>
          <w:sz w:val="18"/>
        </w:rPr>
        <w:t xml:space="preserve">Oracle earnings calendar: </w:t>
      </w:r>
      <w:hyperlink r:id="rId14">
        <w:r>
          <w:rPr>
            <w:color w:val="17365D"/>
            <w:u w:val="single"/>
          </w:rPr>
          <w:t>https://investor.oracle.com/faq/default.aspx</w:t>
        </w:r>
      </w:hyperlink>
    </w:p>
    <w:p>
      <w:pPr>
        <w:spacing w:after="60"/>
      </w:pPr>
      <w:r>
        <w:rPr>
          <w:rFonts w:ascii="Aptos" w:hAnsi="Aptos" w:eastAsia="Aptos"/>
          <w:b/>
          <w:color w:val="000000"/>
          <w:sz w:val="18"/>
        </w:rPr>
        <w:t xml:space="preserve">CoreWeave September pricing update: </w:t>
      </w:r>
      <w:hyperlink r:id="rId15">
        <w:r>
          <w:rPr>
            <w:color w:val="17365D"/>
            <w:u w:val="single"/>
          </w:rPr>
          <w:t>https://investors.coreweave.com/news/news-details/2026/CoreWeave-Continues-to-Contract-New-Compute-Capacity-at-Higher-Prices/default.aspx</w:t>
        </w:r>
      </w:hyperlink>
    </w:p>
    <w:p>
      <w:pPr>
        <w:spacing w:after="60"/>
      </w:pPr>
      <w:r>
        <w:rPr>
          <w:rFonts w:ascii="Aptos" w:hAnsi="Aptos" w:eastAsia="Aptos"/>
          <w:b/>
          <w:color w:val="000000"/>
          <w:sz w:val="18"/>
        </w:rPr>
        <w:t xml:space="preserve">IREN FY26 results filing: </w:t>
      </w:r>
      <w:hyperlink r:id="rId16">
        <w:r>
          <w:rPr>
            <w:color w:val="17365D"/>
            <w:u w:val="single"/>
          </w:rPr>
          <w:t>https://www.sec.gov/Archives/edgar/data/1878848/000187884826000051/irenreportsfy26results.htm</w:t>
        </w:r>
      </w:hyperlink>
    </w:p>
    <w:p>
      <w:pPr>
        <w:spacing w:after="60"/>
      </w:pPr>
      <w:r>
        <w:rPr>
          <w:rFonts w:ascii="Aptos" w:hAnsi="Aptos" w:eastAsia="Aptos"/>
          <w:b/>
          <w:color w:val="000000"/>
          <w:sz w:val="18"/>
        </w:rPr>
        <w:t xml:space="preserve">Nebius asset-level financing update: </w:t>
      </w:r>
      <w:hyperlink r:id="rId17">
        <w:r>
          <w:rPr>
            <w:color w:val="17365D"/>
            <w:u w:val="single"/>
          </w:rPr>
          <w:t>https://nebius.com/newsroom/nebius-raises-775-million-in-first-secured-debt-financing-to-accelerate-global-buildout</w:t>
        </w:r>
      </w:hyperlink>
    </w:p>
    <w:p>
      <w:pPr>
        <w:spacing w:after="60"/>
      </w:pPr>
      <w:r>
        <w:rPr>
          <w:rFonts w:ascii="Aptos" w:hAnsi="Aptos" w:eastAsia="Aptos"/>
          <w:b/>
          <w:color w:val="000000"/>
          <w:sz w:val="18"/>
        </w:rPr>
        <w:t xml:space="preserve">Market performance sources: </w:t>
      </w:r>
      <w:hyperlink r:id="rId18">
        <w:r>
          <w:rPr>
            <w:color w:val="17365D"/>
            <w:u w:val="single"/>
          </w:rPr>
          <w:t>https://www.marketbeat.com/</w:t>
        </w:r>
      </w:hyperlink>
    </w:p>
    <w:p>
      <w:pPr>
        <w:pStyle w:val="Heading1"/>
        <w:keepNext/>
        <w:spacing w:before="240" w:after="100"/>
      </w:pPr>
      <w:r>
        <w:rPr>
          <w:rFonts w:ascii="Aptos" w:hAnsi="Aptos" w:eastAsia="Aptos"/>
          <w:b/>
          <w:color w:val="000000"/>
          <w:sz w:val="30"/>
        </w:rPr>
        <w:t>Final instruction</w:t>
      </w:r>
    </w:p>
    <w:p>
      <w:pPr>
        <w:keepLines w:val="0"/>
        <w:spacing w:before="0" w:after="120" w:line="259" w:lineRule="auto"/>
      </w:pPr>
      <w:r>
        <w:rPr>
          <w:rFonts w:ascii="Aptos" w:hAnsi="Aptos" w:eastAsia="Aptos"/>
          <w:color w:val="000000"/>
        </w:rPr>
        <w:t>The next analyst must report what changed versus this document. If no material change occurred, say so plainly and preserve the existing valuation and capacity anchors. Do not manufacture precision to make the update appear more complete.</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6"/>
      </w:rPr>
      <w:t xml:space="preserve">October 1, 2026  |  Confidential research workflow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66666"/>
        <w:sz w:val="15"/>
      </w:rPr>
      <w:t>VALUATION AND MARKET SETUP ANALYST  |  SUPERVISOR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r.applieddigital.com/news-events/press-releases/detail/160/applied-digital-sets-fiscal-first-quarter-2027-conference" TargetMode="External"/><Relationship Id="rId12" Type="http://schemas.openxmlformats.org/officeDocument/2006/relationships/hyperlink" Target="https://corporate.celestica.com/news-releases/news-release-details/celestica-host-2026-investor-and-analyst-day-october-27-2026" TargetMode="External"/><Relationship Id="rId13" Type="http://schemas.openxmlformats.org/officeDocument/2006/relationships/hyperlink" Target="https://investor.sandisk.com/news-events/news-releases" TargetMode="External"/><Relationship Id="rId14" Type="http://schemas.openxmlformats.org/officeDocument/2006/relationships/hyperlink" Target="https://investor.oracle.com/faq/default.aspx" TargetMode="External"/><Relationship Id="rId15" Type="http://schemas.openxmlformats.org/officeDocument/2006/relationships/hyperlink" Target="https://investors.coreweave.com/news/news-details/2026/CoreWeave-Continues-to-Contract-New-Compute-Capacity-at-Higher-Prices/default.aspx" TargetMode="External"/><Relationship Id="rId16" Type="http://schemas.openxmlformats.org/officeDocument/2006/relationships/hyperlink" Target="https://www.sec.gov/Archives/edgar/data/1878848/000187884826000051/irenreportsfy26results.htm" TargetMode="External"/><Relationship Id="rId17" Type="http://schemas.openxmlformats.org/officeDocument/2006/relationships/hyperlink" Target="https://nebius.com/newsroom/nebius-raises-775-million-in-first-secured-debt-financing-to-accelerate-global-buildout" TargetMode="External"/><Relationship Id="rId18" Type="http://schemas.openxmlformats.org/officeDocument/2006/relationships/hyperlink" Target="https://www.marketbe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