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 Team Valuation and Market Setup Monitoring</w:t>
      </w:r>
    </w:p>
    <w:p>
      <w:pPr>
        <w:jc w:val="left"/>
      </w:pPr>
      <w:r>
        <w:rPr>
          <w:b/>
          <w:sz w:val="22"/>
        </w:rPr>
        <w:t>CRWV  ORCL  APLD  IREN  NBIS  CLS  SNDK</w:t>
      </w:r>
    </w:p>
    <w:p>
      <w:pPr>
        <w:pStyle w:val="Smalltext"/>
      </w:pPr>
      <w:r>
        <w:t>As of 1 October 2026 09:33 UTC  |  Independent challenge review  |  No investment recommendation</w:t>
      </w:r>
    </w:p>
    <w:p>
      <w:pPr>
        <w:pStyle w:val="Heading1"/>
      </w:pPr>
      <w:r>
        <w:t>Purpose and controlling conclusion</w:t>
      </w:r>
    </w:p>
    <w:p>
      <w:r>
        <w:t>This report tests the October 1 supervisor handoff rather than replacing it. No primary disclosure located before the cutoff moved a project into a materially later execution stage. The supplied valuation anchors therefore remain unchanged. That result is provisional: the requested October 1 U.S. close had not occurred at 09:33 UTC, and the referenced catalyst and September 30 valuation reports were not present in the workspace. The correct statement is “no qualifying change found by the cutoff,” not “all changes disproved.”</w:t>
      </w:r>
    </w:p>
    <w:p>
      <w:r>
        <w:rPr>
          <w:b/>
        </w:rPr>
        <w:t>Critical classification finding.</w:t>
      </w:r>
      <w:r>
        <w:t xml:space="preserve"> APLD’s 175 MW figure is verified as ready-for-service or live, but the May 31 Form 10-K explicitly described 100 MW as operational and the second building as only partially operational. The additional 75 MW should not be treated as accepted or revenue-producing without customer acceptance and rent-commencement evidence. IREN separately disclosed approximately 40 MW operating at June 30 and later said a 50 MW Horizon 1 deployment was delivered; overlap is unresolved.</w:t>
      </w:r>
      <w:r>
        <w:t xml:space="preserve"> </w:t>
      </w:r>
      <w:hyperlink r:id="rId9">
        <w:r>
          <w:rPr>
            <w:color w:val="1F4E79"/>
            <w:u w:val="single"/>
          </w:rPr>
          <w:t>[APLD 10-K]</w:t>
        </w:r>
      </w:hyperlink>
      <w:r>
        <w:t xml:space="preserve"> </w:t>
      </w:r>
      <w:hyperlink r:id="rId10">
        <w:r>
          <w:rPr>
            <w:color w:val="1F4E79"/>
            <w:u w:val="single"/>
          </w:rPr>
          <w:t>[IREN FY26 filing]</w:t>
        </w:r>
      </w:hyperlink>
    </w:p>
    <w:p>
      <w:pPr>
        <w:pStyle w:val="Heading1"/>
      </w:pPr>
      <w:r>
        <w:t>Scope and evidence boundary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val="true"/>
        </w:trPr>
        <w:tc>
          <w:tcPr>
            <w:tcW w:type="dxa" w:w="1944"/>
            <w:shd w:fill="1F4E79"/>
            <w:vAlign w:val="center"/>
            <w:tcMar>
              <w:top w:w="80" w:type="dxa"/>
              <w:start w:w="90" w:type="dxa"/>
              <w:bottom w:w="80" w:type="dxa"/>
              <w:end w:w="90" w:type="dxa"/>
            </w:tcMar>
          </w:tcPr>
          <w:p>
            <w:pPr>
              <w:jc w:val="center"/>
            </w:pPr>
            <w:r>
              <w:rPr>
                <w:b/>
                <w:color w:val="FFFFFF"/>
                <w:sz w:val="16"/>
              </w:rPr>
              <w:t>Field</w:t>
            </w:r>
          </w:p>
        </w:tc>
        <w:tc>
          <w:tcPr>
            <w:tcW w:type="dxa" w:w="8136"/>
            <w:shd w:fill="1F4E79"/>
            <w:vAlign w:val="center"/>
            <w:tcMar>
              <w:top w:w="80" w:type="dxa"/>
              <w:start w:w="90" w:type="dxa"/>
              <w:bottom w:w="80" w:type="dxa"/>
              <w:end w:w="90" w:type="dxa"/>
            </w:tcMar>
          </w:tcPr>
          <w:p>
            <w:pPr>
              <w:jc w:val="center"/>
            </w:pPr>
            <w:r>
              <w:rPr>
                <w:b/>
                <w:color w:val="FFFFFF"/>
                <w:sz w:val="16"/>
              </w:rPr>
              <w:t>Applied standard</w:t>
            </w:r>
          </w:p>
        </w:tc>
      </w:tr>
      <w:tr>
        <w:trPr>
          <w:cantSplit w:val="true"/>
        </w:trPr>
        <w:tc>
          <w:tcPr>
            <w:tcW w:type="dxa" w:w="1944"/>
            <w:vAlign w:val="center"/>
            <w:tcMar>
              <w:top w:w="80" w:type="dxa"/>
              <w:start w:w="90" w:type="dxa"/>
              <w:bottom w:w="80" w:type="dxa"/>
              <w:end w:w="90" w:type="dxa"/>
            </w:tcMar>
          </w:tcPr>
          <w:p>
            <w:pPr>
              <w:spacing w:after="0"/>
            </w:pPr>
            <w:r>
              <w:rPr>
                <w:b/>
                <w:sz w:val="16"/>
              </w:rPr>
              <w:t>Cutoff</w:t>
            </w:r>
          </w:p>
        </w:tc>
        <w:tc>
          <w:tcPr>
            <w:tcW w:type="dxa" w:w="8136"/>
            <w:vAlign w:val="center"/>
            <w:tcMar>
              <w:top w:w="80" w:type="dxa"/>
              <w:start w:w="90" w:type="dxa"/>
              <w:bottom w:w="80" w:type="dxa"/>
              <w:end w:w="90" w:type="dxa"/>
            </w:tcMar>
          </w:tcPr>
          <w:p>
            <w:pPr>
              <w:spacing w:after="0"/>
            </w:pPr>
            <w:r>
              <w:rPr>
                <w:sz w:val="16"/>
              </w:rPr>
              <w:t>1 Oct 2026, 09:33 UTC, matching the supplied user time of 12:33 EAT.</w:t>
            </w:r>
          </w:p>
        </w:tc>
      </w:tr>
      <w:tr>
        <w:trPr>
          <w:cantSplit w:val="true"/>
        </w:trPr>
        <w:tc>
          <w:tcPr>
            <w:tcW w:type="dxa" w:w="1944"/>
            <w:vAlign w:val="center"/>
            <w:tcMar>
              <w:top w:w="80" w:type="dxa"/>
              <w:start w:w="90" w:type="dxa"/>
              <w:bottom w:w="80" w:type="dxa"/>
              <w:end w:w="90" w:type="dxa"/>
            </w:tcMar>
            <w:shd w:fill="F3F6F8"/>
          </w:tcPr>
          <w:p>
            <w:pPr>
              <w:spacing w:after="0"/>
            </w:pPr>
            <w:r>
              <w:rPr>
                <w:b/>
                <w:sz w:val="16"/>
              </w:rPr>
              <w:t>Market data</w:t>
            </w:r>
          </w:p>
        </w:tc>
        <w:tc>
          <w:tcPr>
            <w:tcW w:type="dxa" w:w="8136"/>
            <w:vAlign w:val="center"/>
            <w:tcMar>
              <w:top w:w="80" w:type="dxa"/>
              <w:start w:w="90" w:type="dxa"/>
              <w:bottom w:w="80" w:type="dxa"/>
              <w:end w:w="90" w:type="dxa"/>
            </w:tcMar>
            <w:shd w:fill="F3F6F8"/>
          </w:tcPr>
          <w:p>
            <w:pPr>
              <w:spacing w:after="0"/>
            </w:pPr>
            <w:r>
              <w:rPr>
                <w:sz w:val="16"/>
              </w:rPr>
              <w:t>Quote feed showed premarket indications around 09:17–09:19 UTC with no intraday high or low. These are not an October 1 close.</w:t>
            </w:r>
          </w:p>
        </w:tc>
      </w:tr>
      <w:tr>
        <w:trPr>
          <w:cantSplit w:val="true"/>
        </w:trPr>
        <w:tc>
          <w:tcPr>
            <w:tcW w:type="dxa" w:w="1944"/>
            <w:vAlign w:val="center"/>
            <w:tcMar>
              <w:top w:w="80" w:type="dxa"/>
              <w:start w:w="90" w:type="dxa"/>
              <w:bottom w:w="80" w:type="dxa"/>
              <w:end w:w="90" w:type="dxa"/>
            </w:tcMar>
          </w:tcPr>
          <w:p>
            <w:pPr>
              <w:spacing w:after="0"/>
            </w:pPr>
            <w:r>
              <w:rPr>
                <w:b/>
                <w:sz w:val="16"/>
              </w:rPr>
              <w:t>Valuation update</w:t>
            </w:r>
          </w:p>
        </w:tc>
        <w:tc>
          <w:tcPr>
            <w:tcW w:type="dxa" w:w="8136"/>
            <w:vAlign w:val="center"/>
            <w:tcMar>
              <w:top w:w="80" w:type="dxa"/>
              <w:start w:w="90" w:type="dxa"/>
              <w:bottom w:w="80" w:type="dxa"/>
              <w:end w:w="90" w:type="dxa"/>
            </w:tcMar>
          </w:tcPr>
          <w:p>
            <w:pPr>
              <w:spacing w:after="0"/>
            </w:pPr>
            <w:r>
              <w:rPr>
                <w:sz w:val="16"/>
              </w:rPr>
              <w:t>None. A valid refresh requires one dated close plus fully diluted shares, unrestricted cash, debt, leases, preferred claims, converts, warrants, and other obligations.</w:t>
            </w:r>
          </w:p>
        </w:tc>
      </w:tr>
      <w:tr>
        <w:trPr>
          <w:cantSplit w:val="true"/>
        </w:trPr>
        <w:tc>
          <w:tcPr>
            <w:tcW w:type="dxa" w:w="1944"/>
            <w:vAlign w:val="center"/>
            <w:tcMar>
              <w:top w:w="80" w:type="dxa"/>
              <w:start w:w="90" w:type="dxa"/>
              <w:bottom w:w="80" w:type="dxa"/>
              <w:end w:w="90" w:type="dxa"/>
            </w:tcMar>
            <w:shd w:fill="F3F6F8"/>
          </w:tcPr>
          <w:p>
            <w:pPr>
              <w:spacing w:after="0"/>
            </w:pPr>
            <w:r>
              <w:rPr>
                <w:b/>
                <w:sz w:val="16"/>
              </w:rPr>
              <w:t>Source limitation</w:t>
            </w:r>
          </w:p>
        </w:tc>
        <w:tc>
          <w:tcPr>
            <w:tcW w:type="dxa" w:w="8136"/>
            <w:vAlign w:val="center"/>
            <w:tcMar>
              <w:top w:w="80" w:type="dxa"/>
              <w:start w:w="90" w:type="dxa"/>
              <w:bottom w:w="80" w:type="dxa"/>
              <w:end w:w="90" w:type="dxa"/>
            </w:tcMar>
            <w:shd w:fill="F3F6F8"/>
          </w:tcPr>
          <w:p>
            <w:pPr>
              <w:spacing w:after="0"/>
            </w:pPr>
            <w:r>
              <w:rPr>
                <w:sz w:val="16"/>
              </w:rPr>
              <w:t>Uploaded catalyst and valuation reports were absent. Their definitions are preserved from the handoff, but their calculations could not be re-performed.</w:t>
            </w:r>
          </w:p>
        </w:tc>
      </w:tr>
      <w:tr>
        <w:trPr>
          <w:cantSplit w:val="true"/>
        </w:trPr>
        <w:tc>
          <w:tcPr>
            <w:tcW w:type="dxa" w:w="1944"/>
            <w:vAlign w:val="center"/>
            <w:tcMar>
              <w:top w:w="80" w:type="dxa"/>
              <w:start w:w="90" w:type="dxa"/>
              <w:bottom w:w="80" w:type="dxa"/>
              <w:end w:w="90" w:type="dxa"/>
            </w:tcMar>
          </w:tcPr>
          <w:p>
            <w:pPr>
              <w:spacing w:after="0"/>
            </w:pPr>
            <w:r>
              <w:rPr>
                <w:b/>
                <w:sz w:val="16"/>
              </w:rPr>
              <w:t>Evidence labels</w:t>
            </w:r>
          </w:p>
        </w:tc>
        <w:tc>
          <w:tcPr>
            <w:tcW w:type="dxa" w:w="8136"/>
            <w:vAlign w:val="center"/>
            <w:tcMar>
              <w:top w:w="80" w:type="dxa"/>
              <w:start w:w="90" w:type="dxa"/>
              <w:bottom w:w="80" w:type="dxa"/>
              <w:end w:w="90" w:type="dxa"/>
            </w:tcMar>
          </w:tcPr>
          <w:p>
            <w:pPr>
              <w:spacing w:after="0"/>
            </w:pPr>
            <w:r>
              <w:rPr>
                <w:sz w:val="16"/>
              </w:rPr>
              <w:t>Verified fact, management statement/target, inference, scenario assumption, or unresolved claim are distinguished in the text.</w:t>
            </w:r>
          </w:p>
        </w:tc>
      </w:tr>
    </w:tbl>
    <w:p>
      <w:pPr>
        <w:spacing w:after="0"/>
      </w:pPr>
    </w:p>
    <w:p>
      <w:pPr>
        <w:pStyle w:val="Heading1"/>
      </w:pPr>
      <w:r>
        <w:t>What changed versus the handoff</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val="true"/>
        </w:trPr>
        <w:tc>
          <w:tcPr>
            <w:tcW w:type="dxa" w:w="1080"/>
            <w:shd w:fill="1F4E79"/>
            <w:vAlign w:val="center"/>
            <w:tcMar>
              <w:top w:w="80" w:type="dxa"/>
              <w:start w:w="90" w:type="dxa"/>
              <w:bottom w:w="80" w:type="dxa"/>
              <w:end w:w="90" w:type="dxa"/>
            </w:tcMar>
          </w:tcPr>
          <w:p>
            <w:pPr>
              <w:jc w:val="center"/>
            </w:pPr>
            <w:r>
              <w:rPr>
                <w:b/>
                <w:color w:val="FFFFFF"/>
                <w:sz w:val="15"/>
              </w:rPr>
              <w:t>Issuer</w:t>
            </w:r>
          </w:p>
        </w:tc>
        <w:tc>
          <w:tcPr>
            <w:tcW w:type="dxa" w:w="4536"/>
            <w:shd w:fill="1F4E79"/>
            <w:vAlign w:val="center"/>
            <w:tcMar>
              <w:top w:w="80" w:type="dxa"/>
              <w:start w:w="90" w:type="dxa"/>
              <w:bottom w:w="80" w:type="dxa"/>
              <w:end w:w="90" w:type="dxa"/>
            </w:tcMar>
          </w:tcPr>
          <w:p>
            <w:pPr>
              <w:jc w:val="center"/>
            </w:pPr>
            <w:r>
              <w:rPr>
                <w:b/>
                <w:color w:val="FFFFFF"/>
                <w:sz w:val="15"/>
              </w:rPr>
              <w:t>Change by cutoff</w:t>
            </w:r>
          </w:p>
        </w:tc>
        <w:tc>
          <w:tcPr>
            <w:tcW w:type="dxa" w:w="4464"/>
            <w:shd w:fill="1F4E79"/>
            <w:vAlign w:val="center"/>
            <w:tcMar>
              <w:top w:w="80" w:type="dxa"/>
              <w:start w:w="90" w:type="dxa"/>
              <w:bottom w:w="80" w:type="dxa"/>
              <w:end w:w="90" w:type="dxa"/>
            </w:tcMar>
          </w:tcPr>
          <w:p>
            <w:pPr>
              <w:jc w:val="center"/>
            </w:pPr>
            <w:r>
              <w:rPr>
                <w:b/>
                <w:color w:val="FFFFFF"/>
                <w:sz w:val="15"/>
              </w:rPr>
              <w:t>Valuation and setup implication</w:t>
            </w:r>
          </w:p>
        </w:tc>
      </w:tr>
      <w:tr>
        <w:trPr>
          <w:cantSplit w:val="true"/>
        </w:trPr>
        <w:tc>
          <w:tcPr>
            <w:tcW w:type="dxa" w:w="1080"/>
            <w:vAlign w:val="center"/>
            <w:tcMar>
              <w:top w:w="80" w:type="dxa"/>
              <w:start w:w="90" w:type="dxa"/>
              <w:bottom w:w="80" w:type="dxa"/>
              <w:end w:w="90" w:type="dxa"/>
            </w:tcMar>
          </w:tcPr>
          <w:p>
            <w:pPr>
              <w:spacing w:after="0"/>
            </w:pPr>
            <w:r>
              <w:rPr>
                <w:b/>
                <w:sz w:val="15"/>
              </w:rPr>
              <w:t>CRWV</w:t>
            </w:r>
          </w:p>
        </w:tc>
        <w:tc>
          <w:tcPr>
            <w:tcW w:type="dxa" w:w="4536"/>
            <w:vAlign w:val="center"/>
            <w:tcMar>
              <w:top w:w="80" w:type="dxa"/>
              <w:start w:w="90" w:type="dxa"/>
              <w:bottom w:w="80" w:type="dxa"/>
              <w:end w:w="90" w:type="dxa"/>
            </w:tcMar>
          </w:tcPr>
          <w:p>
            <w:pPr>
              <w:spacing w:after="0"/>
            </w:pPr>
            <w:r>
              <w:rPr>
                <w:sz w:val="15"/>
              </w:rPr>
              <w:t>No new operating disclosure found. September convertible financing remains pre-cutoff context.</w:t>
            </w:r>
          </w:p>
        </w:tc>
        <w:tc>
          <w:tcPr>
            <w:tcW w:type="dxa" w:w="4464"/>
            <w:vAlign w:val="center"/>
            <w:tcMar>
              <w:top w:w="80" w:type="dxa"/>
              <w:start w:w="90" w:type="dxa"/>
              <w:bottom w:w="80" w:type="dxa"/>
              <w:end w:w="90" w:type="dxa"/>
            </w:tcMar>
          </w:tcPr>
          <w:p>
            <w:pPr>
              <w:spacing w:after="0"/>
            </w:pPr>
            <w:r>
              <w:rPr>
                <w:sz w:val="15"/>
              </w:rPr>
              <w:t>Keep $78.0B FD EV. Debt and potential dilution remain central; no price-action inference.</w:t>
            </w:r>
          </w:p>
        </w:tc>
      </w:tr>
      <w:tr>
        <w:trPr>
          <w:cantSplit w:val="true"/>
        </w:trPr>
        <w:tc>
          <w:tcPr>
            <w:tcW w:type="dxa" w:w="1080"/>
            <w:vAlign w:val="center"/>
            <w:tcMar>
              <w:top w:w="80" w:type="dxa"/>
              <w:start w:w="90" w:type="dxa"/>
              <w:bottom w:w="80" w:type="dxa"/>
              <w:end w:w="90" w:type="dxa"/>
            </w:tcMar>
            <w:shd w:fill="F3F6F8"/>
          </w:tcPr>
          <w:p>
            <w:pPr>
              <w:spacing w:after="0"/>
            </w:pPr>
            <w:r>
              <w:rPr>
                <w:b/>
                <w:sz w:val="15"/>
              </w:rPr>
              <w:t>ORCL</w:t>
            </w:r>
          </w:p>
        </w:tc>
        <w:tc>
          <w:tcPr>
            <w:tcW w:type="dxa" w:w="4536"/>
            <w:vAlign w:val="center"/>
            <w:tcMar>
              <w:top w:w="80" w:type="dxa"/>
              <w:start w:w="90" w:type="dxa"/>
              <w:bottom w:w="80" w:type="dxa"/>
              <w:end w:w="90" w:type="dxa"/>
            </w:tcMar>
            <w:shd w:fill="F3F6F8"/>
          </w:tcPr>
          <w:p>
            <w:pPr>
              <w:spacing w:after="0"/>
            </w:pPr>
            <w:r>
              <w:rPr>
                <w:sz w:val="15"/>
              </w:rPr>
              <w:t>No new filing after the September 10 results.</w:t>
            </w:r>
          </w:p>
        </w:tc>
        <w:tc>
          <w:tcPr>
            <w:tcW w:type="dxa" w:w="4464"/>
            <w:vAlign w:val="center"/>
            <w:tcMar>
              <w:top w:w="80" w:type="dxa"/>
              <w:start w:w="90" w:type="dxa"/>
              <w:bottom w:w="80" w:type="dxa"/>
              <w:end w:w="90" w:type="dxa"/>
            </w:tcMar>
            <w:shd w:fill="F3F6F8"/>
          </w:tcPr>
          <w:p>
            <w:pPr>
              <w:spacing w:after="0"/>
            </w:pPr>
            <w:r>
              <w:rPr>
                <w:sz w:val="15"/>
              </w:rPr>
              <w:t>Keep $504.6B FD EV and show the separate $288B uncommenced lease commitment prominently.</w:t>
            </w:r>
          </w:p>
        </w:tc>
      </w:tr>
      <w:tr>
        <w:trPr>
          <w:cantSplit w:val="true"/>
        </w:trPr>
        <w:tc>
          <w:tcPr>
            <w:tcW w:type="dxa" w:w="1080"/>
            <w:vAlign w:val="center"/>
            <w:tcMar>
              <w:top w:w="80" w:type="dxa"/>
              <w:start w:w="90" w:type="dxa"/>
              <w:bottom w:w="80" w:type="dxa"/>
              <w:end w:w="90" w:type="dxa"/>
            </w:tcMar>
          </w:tcPr>
          <w:p>
            <w:pPr>
              <w:spacing w:after="0"/>
            </w:pPr>
            <w:r>
              <w:rPr>
                <w:b/>
                <w:sz w:val="15"/>
              </w:rPr>
              <w:t>APLD</w:t>
            </w:r>
          </w:p>
        </w:tc>
        <w:tc>
          <w:tcPr>
            <w:tcW w:type="dxa" w:w="4536"/>
            <w:vAlign w:val="center"/>
            <w:tcMar>
              <w:top w:w="80" w:type="dxa"/>
              <w:start w:w="90" w:type="dxa"/>
              <w:bottom w:w="80" w:type="dxa"/>
              <w:end w:w="90" w:type="dxa"/>
            </w:tcMar>
          </w:tcPr>
          <w:p>
            <w:pPr>
              <w:spacing w:after="0"/>
            </w:pPr>
            <w:r>
              <w:rPr>
                <w:sz w:val="15"/>
              </w:rPr>
              <w:t>No new acceptance evidence. The September 25 S-3 amendment is registration maintenance, not a capacity milestone.</w:t>
            </w:r>
          </w:p>
        </w:tc>
        <w:tc>
          <w:tcPr>
            <w:tcW w:type="dxa" w:w="4464"/>
            <w:vAlign w:val="center"/>
            <w:tcMar>
              <w:top w:w="80" w:type="dxa"/>
              <w:start w:w="90" w:type="dxa"/>
              <w:bottom w:w="80" w:type="dxa"/>
              <w:end w:w="90" w:type="dxa"/>
            </w:tcMar>
          </w:tcPr>
          <w:p>
            <w:pPr>
              <w:spacing w:after="0"/>
            </w:pPr>
            <w:r>
              <w:rPr>
                <w:sz w:val="15"/>
              </w:rPr>
              <w:t>Keep $11.4B FD EV and 175 MW as RFS/live only; do not expand current-revenue MW.</w:t>
            </w:r>
          </w:p>
        </w:tc>
      </w:tr>
      <w:tr>
        <w:trPr>
          <w:cantSplit w:val="true"/>
        </w:trPr>
        <w:tc>
          <w:tcPr>
            <w:tcW w:type="dxa" w:w="1080"/>
            <w:vAlign w:val="center"/>
            <w:tcMar>
              <w:top w:w="80" w:type="dxa"/>
              <w:start w:w="90" w:type="dxa"/>
              <w:bottom w:w="80" w:type="dxa"/>
              <w:end w:w="90" w:type="dxa"/>
            </w:tcMar>
            <w:shd w:fill="F3F6F8"/>
          </w:tcPr>
          <w:p>
            <w:pPr>
              <w:spacing w:after="0"/>
            </w:pPr>
            <w:r>
              <w:rPr>
                <w:b/>
                <w:sz w:val="15"/>
              </w:rPr>
              <w:t>IREN</w:t>
            </w:r>
          </w:p>
        </w:tc>
        <w:tc>
          <w:tcPr>
            <w:tcW w:type="dxa" w:w="4536"/>
            <w:vAlign w:val="center"/>
            <w:tcMar>
              <w:top w:w="80" w:type="dxa"/>
              <w:start w:w="90" w:type="dxa"/>
              <w:bottom w:w="80" w:type="dxa"/>
              <w:end w:w="90" w:type="dxa"/>
            </w:tcMar>
            <w:shd w:fill="F3F6F8"/>
          </w:tcPr>
          <w:p>
            <w:pPr>
              <w:spacing w:after="0"/>
            </w:pPr>
            <w:r>
              <w:rPr>
                <w:sz w:val="15"/>
              </w:rPr>
              <w:t>No new Horizon 2–4 acceptance evidence.</w:t>
            </w:r>
          </w:p>
        </w:tc>
        <w:tc>
          <w:tcPr>
            <w:tcW w:type="dxa" w:w="4464"/>
            <w:vAlign w:val="center"/>
            <w:tcMar>
              <w:top w:w="80" w:type="dxa"/>
              <w:start w:w="90" w:type="dxa"/>
              <w:bottom w:w="80" w:type="dxa"/>
              <w:end w:w="90" w:type="dxa"/>
            </w:tcMar>
            <w:shd w:fill="F3F6F8"/>
          </w:tcPr>
          <w:p>
            <w:pPr>
              <w:spacing w:after="0"/>
            </w:pPr>
            <w:r>
              <w:rPr>
                <w:sz w:val="15"/>
              </w:rPr>
              <w:t>Keep $17.85B FD EV; reconcile 40 MW operating and 50 MW delivered before changing denominator.</w:t>
            </w:r>
          </w:p>
        </w:tc>
      </w:tr>
      <w:tr>
        <w:trPr>
          <w:cantSplit w:val="true"/>
        </w:trPr>
        <w:tc>
          <w:tcPr>
            <w:tcW w:type="dxa" w:w="1080"/>
            <w:vAlign w:val="center"/>
            <w:tcMar>
              <w:top w:w="80" w:type="dxa"/>
              <w:start w:w="90" w:type="dxa"/>
              <w:bottom w:w="80" w:type="dxa"/>
              <w:end w:w="90" w:type="dxa"/>
            </w:tcMar>
          </w:tcPr>
          <w:p>
            <w:pPr>
              <w:spacing w:after="0"/>
            </w:pPr>
            <w:r>
              <w:rPr>
                <w:b/>
                <w:sz w:val="15"/>
              </w:rPr>
              <w:t>NBIS</w:t>
            </w:r>
          </w:p>
        </w:tc>
        <w:tc>
          <w:tcPr>
            <w:tcW w:type="dxa" w:w="4536"/>
            <w:vAlign w:val="center"/>
            <w:tcMar>
              <w:top w:w="80" w:type="dxa"/>
              <w:start w:w="90" w:type="dxa"/>
              <w:bottom w:w="80" w:type="dxa"/>
              <w:end w:w="90" w:type="dxa"/>
            </w:tcMar>
          </w:tcPr>
          <w:p>
            <w:pPr>
              <w:spacing w:after="0"/>
            </w:pPr>
            <w:r>
              <w:rPr>
                <w:sz w:val="15"/>
              </w:rPr>
              <w:t>No new site-level operating IT MW disclosure.</w:t>
            </w:r>
          </w:p>
        </w:tc>
        <w:tc>
          <w:tcPr>
            <w:tcW w:type="dxa" w:w="4464"/>
            <w:vAlign w:val="center"/>
            <w:tcMar>
              <w:top w:w="80" w:type="dxa"/>
              <w:start w:w="90" w:type="dxa"/>
              <w:bottom w:w="80" w:type="dxa"/>
              <w:end w:w="90" w:type="dxa"/>
            </w:tcMar>
          </w:tcPr>
          <w:p>
            <w:pPr>
              <w:spacing w:after="0"/>
            </w:pPr>
            <w:r>
              <w:rPr>
                <w:sz w:val="15"/>
              </w:rPr>
              <w:t>Keep $67.5B FD EV and 21.1x 2026 midpoint; 5 GW power objective is not IT capacity.</w:t>
            </w:r>
          </w:p>
        </w:tc>
      </w:tr>
      <w:tr>
        <w:trPr>
          <w:cantSplit w:val="true"/>
        </w:trPr>
        <w:tc>
          <w:tcPr>
            <w:tcW w:type="dxa" w:w="1080"/>
            <w:vAlign w:val="center"/>
            <w:tcMar>
              <w:top w:w="80" w:type="dxa"/>
              <w:start w:w="90" w:type="dxa"/>
              <w:bottom w:w="80" w:type="dxa"/>
              <w:end w:w="90" w:type="dxa"/>
            </w:tcMar>
            <w:shd w:fill="F3F6F8"/>
          </w:tcPr>
          <w:p>
            <w:pPr>
              <w:spacing w:after="0"/>
            </w:pPr>
            <w:r>
              <w:rPr>
                <w:b/>
                <w:sz w:val="15"/>
              </w:rPr>
              <w:t>CLS</w:t>
            </w:r>
          </w:p>
        </w:tc>
        <w:tc>
          <w:tcPr>
            <w:tcW w:type="dxa" w:w="4536"/>
            <w:vAlign w:val="center"/>
            <w:tcMar>
              <w:top w:w="80" w:type="dxa"/>
              <w:start w:w="90" w:type="dxa"/>
              <w:bottom w:w="80" w:type="dxa"/>
              <w:end w:w="90" w:type="dxa"/>
            </w:tcMar>
            <w:shd w:fill="F3F6F8"/>
          </w:tcPr>
          <w:p>
            <w:pPr>
              <w:spacing w:after="0"/>
            </w:pPr>
            <w:r>
              <w:rPr>
                <w:sz w:val="15"/>
              </w:rPr>
              <w:t>No new results before the October 27 event.</w:t>
            </w:r>
          </w:p>
        </w:tc>
        <w:tc>
          <w:tcPr>
            <w:tcW w:type="dxa" w:w="4464"/>
            <w:vAlign w:val="center"/>
            <w:tcMar>
              <w:top w:w="80" w:type="dxa"/>
              <w:start w:w="90" w:type="dxa"/>
              <w:bottom w:w="80" w:type="dxa"/>
              <w:end w:w="90" w:type="dxa"/>
            </w:tcMar>
            <w:shd w:fill="F3F6F8"/>
          </w:tcPr>
          <w:p>
            <w:pPr>
              <w:spacing w:after="0"/>
            </w:pPr>
            <w:r>
              <w:rPr>
                <w:sz w:val="15"/>
              </w:rPr>
              <w:t>Keep $41.9B FD EV and 6.5%–7.0% normalized margin anchor.</w:t>
            </w:r>
          </w:p>
        </w:tc>
      </w:tr>
      <w:tr>
        <w:trPr>
          <w:cantSplit w:val="true"/>
        </w:trPr>
        <w:tc>
          <w:tcPr>
            <w:tcW w:type="dxa" w:w="1080"/>
            <w:vAlign w:val="center"/>
            <w:tcMar>
              <w:top w:w="80" w:type="dxa"/>
              <w:start w:w="90" w:type="dxa"/>
              <w:bottom w:w="80" w:type="dxa"/>
              <w:end w:w="90" w:type="dxa"/>
            </w:tcMar>
          </w:tcPr>
          <w:p>
            <w:pPr>
              <w:spacing w:after="0"/>
            </w:pPr>
            <w:r>
              <w:rPr>
                <w:b/>
                <w:sz w:val="15"/>
              </w:rPr>
              <w:t>SNDK</w:t>
            </w:r>
          </w:p>
        </w:tc>
        <w:tc>
          <w:tcPr>
            <w:tcW w:type="dxa" w:w="4536"/>
            <w:vAlign w:val="center"/>
            <w:tcMar>
              <w:top w:w="80" w:type="dxa"/>
              <w:start w:w="90" w:type="dxa"/>
              <w:bottom w:w="80" w:type="dxa"/>
              <w:end w:w="90" w:type="dxa"/>
            </w:tcMar>
          </w:tcPr>
          <w:p>
            <w:pPr>
              <w:spacing w:after="0"/>
            </w:pPr>
            <w:r>
              <w:rPr>
                <w:sz w:val="15"/>
              </w:rPr>
              <w:t>No new operating result before October 29.</w:t>
            </w:r>
          </w:p>
        </w:tc>
        <w:tc>
          <w:tcPr>
            <w:tcW w:type="dxa" w:w="4464"/>
            <w:vAlign w:val="center"/>
            <w:tcMar>
              <w:top w:w="80" w:type="dxa"/>
              <w:start w:w="90" w:type="dxa"/>
              <w:bottom w:w="80" w:type="dxa"/>
              <w:end w:w="90" w:type="dxa"/>
            </w:tcMar>
          </w:tcPr>
          <w:p>
            <w:pPr>
              <w:spacing w:after="0"/>
            </w:pPr>
            <w:r>
              <w:rPr>
                <w:sz w:val="15"/>
              </w:rPr>
              <w:t>Keep $269.2B FD EV and both 10% historical-cycle and 26%–28% current-scale margin methods.</w:t>
            </w:r>
          </w:p>
        </w:tc>
      </w:tr>
    </w:tbl>
    <w:p>
      <w:pPr>
        <w:spacing w:after="0"/>
      </w:pPr>
    </w:p>
    <w:p>
      <w:pPr>
        <w:pStyle w:val="Heading1"/>
      </w:pPr>
      <w:r>
        <w:t>Valuation anchor status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val="true"/>
        </w:trPr>
        <w:tc>
          <w:tcPr>
            <w:tcW w:type="dxa" w:w="936"/>
            <w:shd w:fill="1F4E79"/>
            <w:vAlign w:val="center"/>
            <w:tcMar>
              <w:top w:w="80" w:type="dxa"/>
              <w:start w:w="90" w:type="dxa"/>
              <w:bottom w:w="80" w:type="dxa"/>
              <w:end w:w="90" w:type="dxa"/>
            </w:tcMar>
          </w:tcPr>
          <w:p>
            <w:pPr>
              <w:jc w:val="center"/>
            </w:pPr>
            <w:r>
              <w:rPr>
                <w:b/>
                <w:color w:val="FFFFFF"/>
                <w:sz w:val="15"/>
              </w:rPr>
              <w:t>Ticker</w:t>
            </w:r>
          </w:p>
        </w:tc>
        <w:tc>
          <w:tcPr>
            <w:tcW w:type="dxa" w:w="1440"/>
            <w:shd w:fill="1F4E79"/>
            <w:vAlign w:val="center"/>
            <w:tcMar>
              <w:top w:w="80" w:type="dxa"/>
              <w:start w:w="90" w:type="dxa"/>
              <w:bottom w:w="80" w:type="dxa"/>
              <w:end w:w="90" w:type="dxa"/>
            </w:tcMar>
          </w:tcPr>
          <w:p>
            <w:pPr>
              <w:jc w:val="center"/>
            </w:pPr>
            <w:r>
              <w:rPr>
                <w:b/>
                <w:color w:val="FFFFFF"/>
                <w:sz w:val="15"/>
              </w:rPr>
              <w:t>Supplied FD EV</w:t>
            </w:r>
          </w:p>
        </w:tc>
        <w:tc>
          <w:tcPr>
            <w:tcW w:type="dxa" w:w="1584"/>
            <w:shd w:fill="1F4E79"/>
            <w:vAlign w:val="center"/>
            <w:tcMar>
              <w:top w:w="80" w:type="dxa"/>
              <w:start w:w="90" w:type="dxa"/>
              <w:bottom w:w="80" w:type="dxa"/>
              <w:end w:w="90" w:type="dxa"/>
            </w:tcMar>
          </w:tcPr>
          <w:p>
            <w:pPr>
              <w:jc w:val="center"/>
            </w:pPr>
            <w:r>
              <w:rPr>
                <w:b/>
                <w:color w:val="FFFFFF"/>
                <w:sz w:val="15"/>
              </w:rPr>
              <w:t>Permitted status</w:t>
            </w:r>
          </w:p>
        </w:tc>
        <w:tc>
          <w:tcPr>
            <w:tcW w:type="dxa" w:w="6120"/>
            <w:shd w:fill="1F4E79"/>
            <w:vAlign w:val="center"/>
            <w:tcMar>
              <w:top w:w="80" w:type="dxa"/>
              <w:start w:w="90" w:type="dxa"/>
              <w:bottom w:w="80" w:type="dxa"/>
              <w:end w:w="90" w:type="dxa"/>
            </w:tcMar>
          </w:tcPr>
          <w:p>
            <w:pPr>
              <w:jc w:val="center"/>
            </w:pPr>
            <w:r>
              <w:rPr>
                <w:b/>
                <w:color w:val="FFFFFF"/>
                <w:sz w:val="15"/>
              </w:rPr>
              <w:t>Highest impact unresolved input</w:t>
            </w:r>
          </w:p>
        </w:tc>
      </w:tr>
      <w:tr>
        <w:trPr>
          <w:cantSplit w:val="true"/>
        </w:trPr>
        <w:tc>
          <w:tcPr>
            <w:tcW w:type="dxa" w:w="936"/>
            <w:vAlign w:val="center"/>
            <w:tcMar>
              <w:top w:w="80" w:type="dxa"/>
              <w:start w:w="90" w:type="dxa"/>
              <w:bottom w:w="80" w:type="dxa"/>
              <w:end w:w="90" w:type="dxa"/>
            </w:tcMar>
          </w:tcPr>
          <w:p>
            <w:pPr>
              <w:spacing w:after="0"/>
            </w:pPr>
            <w:r>
              <w:rPr>
                <w:b/>
                <w:sz w:val="15"/>
              </w:rPr>
              <w:t>CRWV</w:t>
            </w:r>
          </w:p>
        </w:tc>
        <w:tc>
          <w:tcPr>
            <w:tcW w:type="dxa" w:w="1440"/>
            <w:vAlign w:val="center"/>
            <w:tcMar>
              <w:top w:w="80" w:type="dxa"/>
              <w:start w:w="90" w:type="dxa"/>
              <w:bottom w:w="80" w:type="dxa"/>
              <w:end w:w="90" w:type="dxa"/>
            </w:tcMar>
          </w:tcPr>
          <w:p>
            <w:pPr>
              <w:spacing w:after="0"/>
            </w:pPr>
            <w:r>
              <w:rPr>
                <w:sz w:val="15"/>
              </w:rPr>
              <w:t>$78.0B</w:t>
            </w:r>
          </w:p>
        </w:tc>
        <w:tc>
          <w:tcPr>
            <w:tcW w:type="dxa" w:w="1584"/>
            <w:vAlign w:val="center"/>
            <w:tcMar>
              <w:top w:w="80" w:type="dxa"/>
              <w:start w:w="90" w:type="dxa"/>
              <w:bottom w:w="80" w:type="dxa"/>
              <w:end w:w="90" w:type="dxa"/>
            </w:tcMar>
          </w:tcPr>
          <w:p>
            <w:pPr>
              <w:spacing w:after="0"/>
            </w:pPr>
            <w:r>
              <w:rPr>
                <w:sz w:val="15"/>
              </w:rPr>
              <w:t>Unchanged</w:t>
            </w:r>
          </w:p>
        </w:tc>
        <w:tc>
          <w:tcPr>
            <w:tcW w:type="dxa" w:w="6120"/>
            <w:vAlign w:val="center"/>
            <w:tcMar>
              <w:top w:w="80" w:type="dxa"/>
              <w:start w:w="90" w:type="dxa"/>
              <w:bottom w:w="80" w:type="dxa"/>
              <w:end w:w="90" w:type="dxa"/>
            </w:tcMar>
          </w:tcPr>
          <w:p>
            <w:pPr>
              <w:spacing w:after="0"/>
            </w:pPr>
            <w:r>
              <w:rPr>
                <w:sz w:val="15"/>
              </w:rPr>
              <w:t>Lease-adjusted debt, useful life, replacement capex, diluted settlement.</w:t>
            </w:r>
          </w:p>
        </w:tc>
      </w:tr>
      <w:tr>
        <w:trPr>
          <w:cantSplit w:val="true"/>
        </w:trPr>
        <w:tc>
          <w:tcPr>
            <w:tcW w:type="dxa" w:w="936"/>
            <w:vAlign w:val="center"/>
            <w:tcMar>
              <w:top w:w="80" w:type="dxa"/>
              <w:start w:w="90" w:type="dxa"/>
              <w:bottom w:w="80" w:type="dxa"/>
              <w:end w:w="90" w:type="dxa"/>
            </w:tcMar>
            <w:shd w:fill="F3F6F8"/>
          </w:tcPr>
          <w:p>
            <w:pPr>
              <w:spacing w:after="0"/>
            </w:pPr>
            <w:r>
              <w:rPr>
                <w:b/>
                <w:sz w:val="15"/>
              </w:rPr>
              <w:t>ORCL</w:t>
            </w:r>
          </w:p>
        </w:tc>
        <w:tc>
          <w:tcPr>
            <w:tcW w:type="dxa" w:w="1440"/>
            <w:vAlign w:val="center"/>
            <w:tcMar>
              <w:top w:w="80" w:type="dxa"/>
              <w:start w:w="90" w:type="dxa"/>
              <w:bottom w:w="80" w:type="dxa"/>
              <w:end w:w="90" w:type="dxa"/>
            </w:tcMar>
            <w:shd w:fill="F3F6F8"/>
          </w:tcPr>
          <w:p>
            <w:pPr>
              <w:spacing w:after="0"/>
            </w:pPr>
            <w:r>
              <w:rPr>
                <w:sz w:val="15"/>
              </w:rPr>
              <w:t>$504.6B</w:t>
            </w:r>
          </w:p>
        </w:tc>
        <w:tc>
          <w:tcPr>
            <w:tcW w:type="dxa" w:w="1584"/>
            <w:vAlign w:val="center"/>
            <w:tcMar>
              <w:top w:w="80" w:type="dxa"/>
              <w:start w:w="90" w:type="dxa"/>
              <w:bottom w:w="80" w:type="dxa"/>
              <w:end w:w="90" w:type="dxa"/>
            </w:tcMar>
            <w:shd w:fill="F3F6F8"/>
          </w:tcPr>
          <w:p>
            <w:pPr>
              <w:spacing w:after="0"/>
            </w:pPr>
            <w:r>
              <w:rPr>
                <w:sz w:val="15"/>
              </w:rPr>
              <w:t>Unchanged</w:t>
            </w:r>
          </w:p>
        </w:tc>
        <w:tc>
          <w:tcPr>
            <w:tcW w:type="dxa" w:w="6120"/>
            <w:vAlign w:val="center"/>
            <w:tcMar>
              <w:top w:w="80" w:type="dxa"/>
              <w:start w:w="90" w:type="dxa"/>
              <w:bottom w:w="80" w:type="dxa"/>
              <w:end w:w="90" w:type="dxa"/>
            </w:tcMar>
            <w:shd w:fill="F3F6F8"/>
          </w:tcPr>
          <w:p>
            <w:pPr>
              <w:spacing w:after="0"/>
            </w:pPr>
            <w:r>
              <w:rPr>
                <w:sz w:val="15"/>
              </w:rPr>
              <w:t>$288B uncommenced leases excluded from EV; project returns and funding.</w:t>
            </w:r>
          </w:p>
        </w:tc>
      </w:tr>
      <w:tr>
        <w:trPr>
          <w:cantSplit w:val="true"/>
        </w:trPr>
        <w:tc>
          <w:tcPr>
            <w:tcW w:type="dxa" w:w="936"/>
            <w:vAlign w:val="center"/>
            <w:tcMar>
              <w:top w:w="80" w:type="dxa"/>
              <w:start w:w="90" w:type="dxa"/>
              <w:bottom w:w="80" w:type="dxa"/>
              <w:end w:w="90" w:type="dxa"/>
            </w:tcMar>
          </w:tcPr>
          <w:p>
            <w:pPr>
              <w:spacing w:after="0"/>
            </w:pPr>
            <w:r>
              <w:rPr>
                <w:b/>
                <w:sz w:val="15"/>
              </w:rPr>
              <w:t>APLD</w:t>
            </w:r>
          </w:p>
        </w:tc>
        <w:tc>
          <w:tcPr>
            <w:tcW w:type="dxa" w:w="1440"/>
            <w:vAlign w:val="center"/>
            <w:tcMar>
              <w:top w:w="80" w:type="dxa"/>
              <w:start w:w="90" w:type="dxa"/>
              <w:bottom w:w="80" w:type="dxa"/>
              <w:end w:w="90" w:type="dxa"/>
            </w:tcMar>
          </w:tcPr>
          <w:p>
            <w:pPr>
              <w:spacing w:after="0"/>
            </w:pPr>
            <w:r>
              <w:rPr>
                <w:sz w:val="15"/>
              </w:rPr>
              <w:t>$11.4B</w:t>
            </w:r>
          </w:p>
        </w:tc>
        <w:tc>
          <w:tcPr>
            <w:tcW w:type="dxa" w:w="1584"/>
            <w:vAlign w:val="center"/>
            <w:tcMar>
              <w:top w:w="80" w:type="dxa"/>
              <w:start w:w="90" w:type="dxa"/>
              <w:bottom w:w="80" w:type="dxa"/>
              <w:end w:w="90" w:type="dxa"/>
            </w:tcMar>
          </w:tcPr>
          <w:p>
            <w:pPr>
              <w:spacing w:after="0"/>
            </w:pPr>
            <w:r>
              <w:rPr>
                <w:sz w:val="15"/>
              </w:rPr>
              <w:t>Unchanged</w:t>
            </w:r>
          </w:p>
        </w:tc>
        <w:tc>
          <w:tcPr>
            <w:tcW w:type="dxa" w:w="6120"/>
            <w:vAlign w:val="center"/>
            <w:tcMar>
              <w:top w:w="80" w:type="dxa"/>
              <w:start w:w="90" w:type="dxa"/>
              <w:bottom w:w="80" w:type="dxa"/>
              <w:end w:w="90" w:type="dxa"/>
            </w:tcMar>
          </w:tcPr>
          <w:p>
            <w:pPr>
              <w:spacing w:after="0"/>
            </w:pPr>
            <w:r>
              <w:rPr>
                <w:sz w:val="15"/>
              </w:rPr>
              <w:t>Preferred/conversion dilution, unrestricted versus restricted cash, completion support.</w:t>
            </w:r>
          </w:p>
        </w:tc>
      </w:tr>
      <w:tr>
        <w:trPr>
          <w:cantSplit w:val="true"/>
        </w:trPr>
        <w:tc>
          <w:tcPr>
            <w:tcW w:type="dxa" w:w="936"/>
            <w:vAlign w:val="center"/>
            <w:tcMar>
              <w:top w:w="80" w:type="dxa"/>
              <w:start w:w="90" w:type="dxa"/>
              <w:bottom w:w="80" w:type="dxa"/>
              <w:end w:w="90" w:type="dxa"/>
            </w:tcMar>
            <w:shd w:fill="F3F6F8"/>
          </w:tcPr>
          <w:p>
            <w:pPr>
              <w:spacing w:after="0"/>
            </w:pPr>
            <w:r>
              <w:rPr>
                <w:b/>
                <w:sz w:val="15"/>
              </w:rPr>
              <w:t>IREN</w:t>
            </w:r>
          </w:p>
        </w:tc>
        <w:tc>
          <w:tcPr>
            <w:tcW w:type="dxa" w:w="1440"/>
            <w:vAlign w:val="center"/>
            <w:tcMar>
              <w:top w:w="80" w:type="dxa"/>
              <w:start w:w="90" w:type="dxa"/>
              <w:bottom w:w="80" w:type="dxa"/>
              <w:end w:w="90" w:type="dxa"/>
            </w:tcMar>
            <w:shd w:fill="F3F6F8"/>
          </w:tcPr>
          <w:p>
            <w:pPr>
              <w:spacing w:after="0"/>
            </w:pPr>
            <w:r>
              <w:rPr>
                <w:sz w:val="15"/>
              </w:rPr>
              <w:t>$17.85B</w:t>
            </w:r>
          </w:p>
        </w:tc>
        <w:tc>
          <w:tcPr>
            <w:tcW w:type="dxa" w:w="1584"/>
            <w:vAlign w:val="center"/>
            <w:tcMar>
              <w:top w:w="80" w:type="dxa"/>
              <w:start w:w="90" w:type="dxa"/>
              <w:bottom w:w="80" w:type="dxa"/>
              <w:end w:w="90" w:type="dxa"/>
            </w:tcMar>
            <w:shd w:fill="F3F6F8"/>
          </w:tcPr>
          <w:p>
            <w:pPr>
              <w:spacing w:after="0"/>
            </w:pPr>
            <w:r>
              <w:rPr>
                <w:sz w:val="15"/>
              </w:rPr>
              <w:t>Unchanged</w:t>
            </w:r>
          </w:p>
        </w:tc>
        <w:tc>
          <w:tcPr>
            <w:tcW w:type="dxa" w:w="6120"/>
            <w:vAlign w:val="center"/>
            <w:tcMar>
              <w:top w:w="80" w:type="dxa"/>
              <w:start w:w="90" w:type="dxa"/>
              <w:bottom w:w="80" w:type="dxa"/>
              <w:end w:w="90" w:type="dxa"/>
            </w:tcMar>
            <w:shd w:fill="F3F6F8"/>
          </w:tcPr>
          <w:p>
            <w:pPr>
              <w:spacing w:after="0"/>
            </w:pPr>
            <w:r>
              <w:rPr>
                <w:sz w:val="15"/>
              </w:rPr>
              <w:t>Accepted IT MW, customer prepayments, GPU financing conditions, dilution.</w:t>
            </w:r>
          </w:p>
        </w:tc>
      </w:tr>
      <w:tr>
        <w:trPr>
          <w:cantSplit w:val="true"/>
        </w:trPr>
        <w:tc>
          <w:tcPr>
            <w:tcW w:type="dxa" w:w="936"/>
            <w:vAlign w:val="center"/>
            <w:tcMar>
              <w:top w:w="80" w:type="dxa"/>
              <w:start w:w="90" w:type="dxa"/>
              <w:bottom w:w="80" w:type="dxa"/>
              <w:end w:w="90" w:type="dxa"/>
            </w:tcMar>
          </w:tcPr>
          <w:p>
            <w:pPr>
              <w:spacing w:after="0"/>
            </w:pPr>
            <w:r>
              <w:rPr>
                <w:b/>
                <w:sz w:val="15"/>
              </w:rPr>
              <w:t>NBIS</w:t>
            </w:r>
          </w:p>
        </w:tc>
        <w:tc>
          <w:tcPr>
            <w:tcW w:type="dxa" w:w="1440"/>
            <w:vAlign w:val="center"/>
            <w:tcMar>
              <w:top w:w="80" w:type="dxa"/>
              <w:start w:w="90" w:type="dxa"/>
              <w:bottom w:w="80" w:type="dxa"/>
              <w:end w:w="90" w:type="dxa"/>
            </w:tcMar>
          </w:tcPr>
          <w:p>
            <w:pPr>
              <w:spacing w:after="0"/>
            </w:pPr>
            <w:r>
              <w:rPr>
                <w:sz w:val="15"/>
              </w:rPr>
              <w:t>$67.5B</w:t>
            </w:r>
          </w:p>
        </w:tc>
        <w:tc>
          <w:tcPr>
            <w:tcW w:type="dxa" w:w="1584"/>
            <w:vAlign w:val="center"/>
            <w:tcMar>
              <w:top w:w="80" w:type="dxa"/>
              <w:start w:w="90" w:type="dxa"/>
              <w:bottom w:w="80" w:type="dxa"/>
              <w:end w:w="90" w:type="dxa"/>
            </w:tcMar>
          </w:tcPr>
          <w:p>
            <w:pPr>
              <w:spacing w:after="0"/>
            </w:pPr>
            <w:r>
              <w:rPr>
                <w:sz w:val="15"/>
              </w:rPr>
              <w:t>Unchanged</w:t>
            </w:r>
          </w:p>
        </w:tc>
        <w:tc>
          <w:tcPr>
            <w:tcW w:type="dxa" w:w="6120"/>
            <w:vAlign w:val="center"/>
            <w:tcMar>
              <w:top w:w="80" w:type="dxa"/>
              <w:start w:w="90" w:type="dxa"/>
              <w:bottom w:w="80" w:type="dxa"/>
              <w:end w:w="90" w:type="dxa"/>
            </w:tcMar>
          </w:tcPr>
          <w:p>
            <w:pPr>
              <w:spacing w:after="0"/>
            </w:pPr>
            <w:r>
              <w:rPr>
                <w:sz w:val="15"/>
              </w:rPr>
              <w:t>Post-convert FD shares, cash deployment, operating IT MW and utilization.</w:t>
            </w:r>
          </w:p>
        </w:tc>
      </w:tr>
      <w:tr>
        <w:trPr>
          <w:cantSplit w:val="true"/>
        </w:trPr>
        <w:tc>
          <w:tcPr>
            <w:tcW w:type="dxa" w:w="936"/>
            <w:vAlign w:val="center"/>
            <w:tcMar>
              <w:top w:w="80" w:type="dxa"/>
              <w:start w:w="90" w:type="dxa"/>
              <w:bottom w:w="80" w:type="dxa"/>
              <w:end w:w="90" w:type="dxa"/>
            </w:tcMar>
            <w:shd w:fill="F3F6F8"/>
          </w:tcPr>
          <w:p>
            <w:pPr>
              <w:spacing w:after="0"/>
            </w:pPr>
            <w:r>
              <w:rPr>
                <w:b/>
                <w:sz w:val="15"/>
              </w:rPr>
              <w:t>CLS</w:t>
            </w:r>
          </w:p>
        </w:tc>
        <w:tc>
          <w:tcPr>
            <w:tcW w:type="dxa" w:w="1440"/>
            <w:vAlign w:val="center"/>
            <w:tcMar>
              <w:top w:w="80" w:type="dxa"/>
              <w:start w:w="90" w:type="dxa"/>
              <w:bottom w:w="80" w:type="dxa"/>
              <w:end w:w="90" w:type="dxa"/>
            </w:tcMar>
            <w:shd w:fill="F3F6F8"/>
          </w:tcPr>
          <w:p>
            <w:pPr>
              <w:spacing w:after="0"/>
            </w:pPr>
            <w:r>
              <w:rPr>
                <w:sz w:val="15"/>
              </w:rPr>
              <w:t>$41.9B</w:t>
            </w:r>
          </w:p>
        </w:tc>
        <w:tc>
          <w:tcPr>
            <w:tcW w:type="dxa" w:w="1584"/>
            <w:vAlign w:val="center"/>
            <w:tcMar>
              <w:top w:w="80" w:type="dxa"/>
              <w:start w:w="90" w:type="dxa"/>
              <w:bottom w:w="80" w:type="dxa"/>
              <w:end w:w="90" w:type="dxa"/>
            </w:tcMar>
            <w:shd w:fill="F3F6F8"/>
          </w:tcPr>
          <w:p>
            <w:pPr>
              <w:spacing w:after="0"/>
            </w:pPr>
            <w:r>
              <w:rPr>
                <w:sz w:val="15"/>
              </w:rPr>
              <w:t>Unchanged</w:t>
            </w:r>
          </w:p>
        </w:tc>
        <w:tc>
          <w:tcPr>
            <w:tcW w:type="dxa" w:w="6120"/>
            <w:vAlign w:val="center"/>
            <w:tcMar>
              <w:top w:w="80" w:type="dxa"/>
              <w:start w:w="90" w:type="dxa"/>
              <w:bottom w:w="80" w:type="dxa"/>
              <w:end w:w="90" w:type="dxa"/>
            </w:tcMar>
            <w:shd w:fill="F3F6F8"/>
          </w:tcPr>
          <w:p>
            <w:pPr>
              <w:spacing w:after="0"/>
            </w:pPr>
            <w:r>
              <w:rPr>
                <w:sz w:val="15"/>
              </w:rPr>
              <w:t>Working capital, customer concentration and full-cycle margin.</w:t>
            </w:r>
          </w:p>
        </w:tc>
      </w:tr>
      <w:tr>
        <w:trPr>
          <w:cantSplit w:val="true"/>
        </w:trPr>
        <w:tc>
          <w:tcPr>
            <w:tcW w:type="dxa" w:w="936"/>
            <w:vAlign w:val="center"/>
            <w:tcMar>
              <w:top w:w="80" w:type="dxa"/>
              <w:start w:w="90" w:type="dxa"/>
              <w:bottom w:w="80" w:type="dxa"/>
              <w:end w:w="90" w:type="dxa"/>
            </w:tcMar>
          </w:tcPr>
          <w:p>
            <w:pPr>
              <w:spacing w:after="0"/>
            </w:pPr>
            <w:r>
              <w:rPr>
                <w:b/>
                <w:sz w:val="15"/>
              </w:rPr>
              <w:t>SNDK</w:t>
            </w:r>
          </w:p>
        </w:tc>
        <w:tc>
          <w:tcPr>
            <w:tcW w:type="dxa" w:w="1440"/>
            <w:vAlign w:val="center"/>
            <w:tcMar>
              <w:top w:w="80" w:type="dxa"/>
              <w:start w:w="90" w:type="dxa"/>
              <w:bottom w:w="80" w:type="dxa"/>
              <w:end w:w="90" w:type="dxa"/>
            </w:tcMar>
          </w:tcPr>
          <w:p>
            <w:pPr>
              <w:spacing w:after="0"/>
            </w:pPr>
            <w:r>
              <w:rPr>
                <w:sz w:val="15"/>
              </w:rPr>
              <w:t>$269.2B</w:t>
            </w:r>
          </w:p>
        </w:tc>
        <w:tc>
          <w:tcPr>
            <w:tcW w:type="dxa" w:w="1584"/>
            <w:vAlign w:val="center"/>
            <w:tcMar>
              <w:top w:w="80" w:type="dxa"/>
              <w:start w:w="90" w:type="dxa"/>
              <w:bottom w:w="80" w:type="dxa"/>
              <w:end w:w="90" w:type="dxa"/>
            </w:tcMar>
          </w:tcPr>
          <w:p>
            <w:pPr>
              <w:spacing w:after="0"/>
            </w:pPr>
            <w:r>
              <w:rPr>
                <w:sz w:val="15"/>
              </w:rPr>
              <w:t>Unchanged</w:t>
            </w:r>
          </w:p>
        </w:tc>
        <w:tc>
          <w:tcPr>
            <w:tcW w:type="dxa" w:w="6120"/>
            <w:vAlign w:val="center"/>
            <w:tcMar>
              <w:top w:w="80" w:type="dxa"/>
              <w:start w:w="90" w:type="dxa"/>
              <w:bottom w:w="80" w:type="dxa"/>
              <w:end w:w="90" w:type="dxa"/>
            </w:tcMar>
          </w:tcPr>
          <w:p>
            <w:pPr>
              <w:spacing w:after="0"/>
            </w:pPr>
            <w:r>
              <w:rPr>
                <w:sz w:val="15"/>
              </w:rPr>
              <w:t>Cycle-normal earnings, NBM economics, buybacks and share count.</w:t>
            </w:r>
          </w:p>
        </w:tc>
      </w:tr>
    </w:tbl>
    <w:p>
      <w:pPr>
        <w:spacing w:after="0"/>
      </w:pPr>
    </w:p>
    <w:p>
      <w:r>
        <w:t>Oracle’s August 31 10-Q verifies $34.6B of recorded lease liabilities and $288B of additional lease commitments expected to commence from fiscal Q2 2027 through fiscal 2029; treating the latter as if it were already balance-sheet debt would be inaccurate, but excluding it from enterprise-risk analysis would also be incomplete.</w:t>
      </w:r>
      <w:r>
        <w:t xml:space="preserve"> </w:t>
      </w:r>
      <w:hyperlink r:id="rId11">
        <w:r>
          <w:rPr>
            <w:color w:val="1F4E79"/>
            <w:u w:val="single"/>
          </w:rPr>
          <w:t>[Oracle Q1 FY27 10-Q]</w:t>
        </w:r>
      </w:hyperlink>
    </w:p>
    <w:p>
      <w:r>
        <w:br w:type="page"/>
      </w:r>
    </w:p>
    <w:p>
      <w:pPr>
        <w:pStyle w:val="Heading1"/>
      </w:pPr>
      <w:r>
        <w:t>APLD building and revenue reconciliation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val="true"/>
        </w:trPr>
        <w:tc>
          <w:tcPr>
            <w:tcW w:type="dxa" w:w="2232"/>
            <w:shd w:fill="1F4E79"/>
            <w:vAlign w:val="center"/>
            <w:tcMar>
              <w:top w:w="80" w:type="dxa"/>
              <w:start w:w="90" w:type="dxa"/>
              <w:bottom w:w="80" w:type="dxa"/>
              <w:end w:w="90" w:type="dxa"/>
            </w:tcMar>
          </w:tcPr>
          <w:p>
            <w:pPr>
              <w:jc w:val="center"/>
            </w:pPr>
            <w:r>
              <w:rPr>
                <w:b/>
                <w:color w:val="FFFFFF"/>
                <w:sz w:val="15"/>
              </w:rPr>
              <w:t>Asset</w:t>
            </w:r>
          </w:p>
        </w:tc>
        <w:tc>
          <w:tcPr>
            <w:tcW w:type="dxa" w:w="1152"/>
            <w:shd w:fill="1F4E79"/>
            <w:vAlign w:val="center"/>
            <w:tcMar>
              <w:top w:w="80" w:type="dxa"/>
              <w:start w:w="90" w:type="dxa"/>
              <w:bottom w:w="80" w:type="dxa"/>
              <w:end w:w="90" w:type="dxa"/>
            </w:tcMar>
          </w:tcPr>
          <w:p>
            <w:pPr>
              <w:jc w:val="center"/>
            </w:pPr>
            <w:r>
              <w:rPr>
                <w:b/>
                <w:color w:val="FFFFFF"/>
                <w:sz w:val="15"/>
              </w:rPr>
              <w:t>MW</w:t>
            </w:r>
          </w:p>
        </w:tc>
        <w:tc>
          <w:tcPr>
            <w:tcW w:type="dxa" w:w="3888"/>
            <w:shd w:fill="1F4E79"/>
            <w:vAlign w:val="center"/>
            <w:tcMar>
              <w:top w:w="80" w:type="dxa"/>
              <w:start w:w="90" w:type="dxa"/>
              <w:bottom w:w="80" w:type="dxa"/>
              <w:end w:w="90" w:type="dxa"/>
            </w:tcMar>
          </w:tcPr>
          <w:p>
            <w:pPr>
              <w:jc w:val="center"/>
            </w:pPr>
            <w:r>
              <w:rPr>
                <w:b/>
                <w:color w:val="FFFFFF"/>
                <w:sz w:val="15"/>
              </w:rPr>
              <w:t>Verified stage at cutoff</w:t>
            </w:r>
          </w:p>
        </w:tc>
        <w:tc>
          <w:tcPr>
            <w:tcW w:type="dxa" w:w="2808"/>
            <w:shd w:fill="1F4E79"/>
            <w:vAlign w:val="center"/>
            <w:tcMar>
              <w:top w:w="80" w:type="dxa"/>
              <w:start w:w="90" w:type="dxa"/>
              <w:bottom w:w="80" w:type="dxa"/>
              <w:end w:w="90" w:type="dxa"/>
            </w:tcMar>
          </w:tcPr>
          <w:p>
            <w:pPr>
              <w:jc w:val="center"/>
            </w:pPr>
            <w:r>
              <w:rPr>
                <w:b/>
                <w:color w:val="FFFFFF"/>
                <w:sz w:val="15"/>
              </w:rPr>
              <w:t>Revenue treatment</w:t>
            </w:r>
          </w:p>
        </w:tc>
      </w:tr>
      <w:tr>
        <w:trPr>
          <w:cantSplit w:val="true"/>
        </w:trPr>
        <w:tc>
          <w:tcPr>
            <w:tcW w:type="dxa" w:w="2232"/>
            <w:vAlign w:val="center"/>
            <w:tcMar>
              <w:top w:w="80" w:type="dxa"/>
              <w:start w:w="90" w:type="dxa"/>
              <w:bottom w:w="80" w:type="dxa"/>
              <w:end w:w="90" w:type="dxa"/>
            </w:tcMar>
          </w:tcPr>
          <w:p>
            <w:pPr>
              <w:spacing w:after="0"/>
            </w:pPr>
            <w:r>
              <w:rPr>
                <w:b/>
                <w:sz w:val="15"/>
              </w:rPr>
              <w:t>Polaris Forge 1 Building 1</w:t>
            </w:r>
          </w:p>
        </w:tc>
        <w:tc>
          <w:tcPr>
            <w:tcW w:type="dxa" w:w="1152"/>
            <w:vAlign w:val="center"/>
            <w:tcMar>
              <w:top w:w="80" w:type="dxa"/>
              <w:start w:w="90" w:type="dxa"/>
              <w:bottom w:w="80" w:type="dxa"/>
              <w:end w:w="90" w:type="dxa"/>
            </w:tcMar>
          </w:tcPr>
          <w:p>
            <w:pPr>
              <w:spacing w:after="0"/>
            </w:pPr>
            <w:r>
              <w:rPr>
                <w:sz w:val="15"/>
              </w:rPr>
              <w:t>100</w:t>
            </w:r>
          </w:p>
        </w:tc>
        <w:tc>
          <w:tcPr>
            <w:tcW w:type="dxa" w:w="3888"/>
            <w:vAlign w:val="center"/>
            <w:tcMar>
              <w:top w:w="80" w:type="dxa"/>
              <w:start w:w="90" w:type="dxa"/>
              <w:bottom w:w="80" w:type="dxa"/>
              <w:end w:w="90" w:type="dxa"/>
            </w:tcMar>
          </w:tcPr>
          <w:p>
            <w:pPr>
              <w:spacing w:after="0"/>
            </w:pPr>
            <w:r>
              <w:rPr>
                <w:sz w:val="15"/>
              </w:rPr>
              <w:t>Operational since Oct 2025; leased to CoreWeave.</w:t>
            </w:r>
          </w:p>
        </w:tc>
        <w:tc>
          <w:tcPr>
            <w:tcW w:type="dxa" w:w="2808"/>
            <w:vAlign w:val="center"/>
            <w:tcMar>
              <w:top w:w="80" w:type="dxa"/>
              <w:start w:w="90" w:type="dxa"/>
              <w:bottom w:w="80" w:type="dxa"/>
              <w:end w:w="90" w:type="dxa"/>
            </w:tcMar>
          </w:tcPr>
          <w:p>
            <w:pPr>
              <w:spacing w:after="0"/>
            </w:pPr>
            <w:r>
              <w:rPr>
                <w:sz w:val="15"/>
              </w:rPr>
              <w:t>Recurring rent verified in FY26, though annual disclosure does not isolate building-by-building rent.</w:t>
            </w:r>
          </w:p>
        </w:tc>
      </w:tr>
      <w:tr>
        <w:trPr>
          <w:cantSplit w:val="true"/>
        </w:trPr>
        <w:tc>
          <w:tcPr>
            <w:tcW w:type="dxa" w:w="2232"/>
            <w:vAlign w:val="center"/>
            <w:tcMar>
              <w:top w:w="80" w:type="dxa"/>
              <w:start w:w="90" w:type="dxa"/>
              <w:bottom w:w="80" w:type="dxa"/>
              <w:end w:w="90" w:type="dxa"/>
            </w:tcMar>
            <w:shd w:fill="F3F6F8"/>
          </w:tcPr>
          <w:p>
            <w:pPr>
              <w:spacing w:after="0"/>
            </w:pPr>
            <w:r>
              <w:rPr>
                <w:b/>
                <w:sz w:val="15"/>
              </w:rPr>
              <w:t>PF1 Building 2 Phase 1</w:t>
            </w:r>
          </w:p>
        </w:tc>
        <w:tc>
          <w:tcPr>
            <w:tcW w:type="dxa" w:w="1152"/>
            <w:vAlign w:val="center"/>
            <w:tcMar>
              <w:top w:w="80" w:type="dxa"/>
              <w:start w:w="90" w:type="dxa"/>
              <w:bottom w:w="80" w:type="dxa"/>
              <w:end w:w="90" w:type="dxa"/>
            </w:tcMar>
            <w:shd w:fill="F3F6F8"/>
          </w:tcPr>
          <w:p>
            <w:pPr>
              <w:spacing w:after="0"/>
            </w:pPr>
            <w:r>
              <w:rPr>
                <w:sz w:val="15"/>
              </w:rPr>
              <w:t>75</w:t>
            </w:r>
          </w:p>
        </w:tc>
        <w:tc>
          <w:tcPr>
            <w:tcW w:type="dxa" w:w="3888"/>
            <w:vAlign w:val="center"/>
            <w:tcMar>
              <w:top w:w="80" w:type="dxa"/>
              <w:start w:w="90" w:type="dxa"/>
              <w:bottom w:w="80" w:type="dxa"/>
              <w:end w:w="90" w:type="dxa"/>
            </w:tcMar>
            <w:shd w:fill="F3F6F8"/>
          </w:tcPr>
          <w:p>
            <w:pPr>
              <w:spacing w:after="0"/>
            </w:pPr>
            <w:r>
              <w:rPr>
                <w:sz w:val="15"/>
              </w:rPr>
              <w:t>Ready for Service by July 2026; Building 2 described as partially operational at May 31.</w:t>
            </w:r>
          </w:p>
        </w:tc>
        <w:tc>
          <w:tcPr>
            <w:tcW w:type="dxa" w:w="2808"/>
            <w:vAlign w:val="center"/>
            <w:tcMar>
              <w:top w:w="80" w:type="dxa"/>
              <w:start w:w="90" w:type="dxa"/>
              <w:bottom w:w="80" w:type="dxa"/>
              <w:end w:w="90" w:type="dxa"/>
            </w:tcMar>
            <w:shd w:fill="F3F6F8"/>
          </w:tcPr>
          <w:p>
            <w:pPr>
              <w:spacing w:after="0"/>
            </w:pPr>
            <w:r>
              <w:rPr>
                <w:sz w:val="15"/>
              </w:rPr>
              <w:t>Do not assume acceptance or rent commencement without explicit evidence.</w:t>
            </w:r>
          </w:p>
        </w:tc>
      </w:tr>
      <w:tr>
        <w:trPr>
          <w:cantSplit w:val="true"/>
        </w:trPr>
        <w:tc>
          <w:tcPr>
            <w:tcW w:type="dxa" w:w="2232"/>
            <w:vAlign w:val="center"/>
            <w:tcMar>
              <w:top w:w="80" w:type="dxa"/>
              <w:start w:w="90" w:type="dxa"/>
              <w:bottom w:w="80" w:type="dxa"/>
              <w:end w:w="90" w:type="dxa"/>
            </w:tcMar>
          </w:tcPr>
          <w:p>
            <w:pPr>
              <w:spacing w:after="0"/>
            </w:pPr>
            <w:r>
              <w:rPr>
                <w:b/>
                <w:sz w:val="15"/>
              </w:rPr>
              <w:t>PF1 Building 2 remainder</w:t>
            </w:r>
          </w:p>
        </w:tc>
        <w:tc>
          <w:tcPr>
            <w:tcW w:type="dxa" w:w="1152"/>
            <w:vAlign w:val="center"/>
            <w:tcMar>
              <w:top w:w="80" w:type="dxa"/>
              <w:start w:w="90" w:type="dxa"/>
              <w:bottom w:w="80" w:type="dxa"/>
              <w:end w:w="90" w:type="dxa"/>
            </w:tcMar>
          </w:tcPr>
          <w:p>
            <w:pPr>
              <w:spacing w:after="0"/>
            </w:pPr>
            <w:r>
              <w:rPr>
                <w:sz w:val="15"/>
              </w:rPr>
              <w:t>75</w:t>
            </w:r>
          </w:p>
        </w:tc>
        <w:tc>
          <w:tcPr>
            <w:tcW w:type="dxa" w:w="3888"/>
            <w:vAlign w:val="center"/>
            <w:tcMar>
              <w:top w:w="80" w:type="dxa"/>
              <w:start w:w="90" w:type="dxa"/>
              <w:bottom w:w="80" w:type="dxa"/>
              <w:end w:w="90" w:type="dxa"/>
            </w:tcMar>
          </w:tcPr>
          <w:p>
            <w:pPr>
              <w:spacing w:after="0"/>
            </w:pPr>
            <w:r>
              <w:rPr>
                <w:sz w:val="15"/>
              </w:rPr>
              <w:t>Not verified as RFS/accepted.</w:t>
            </w:r>
          </w:p>
        </w:tc>
        <w:tc>
          <w:tcPr>
            <w:tcW w:type="dxa" w:w="2808"/>
            <w:vAlign w:val="center"/>
            <w:tcMar>
              <w:top w:w="80" w:type="dxa"/>
              <w:start w:w="90" w:type="dxa"/>
              <w:bottom w:w="80" w:type="dxa"/>
              <w:end w:w="90" w:type="dxa"/>
            </w:tcMar>
          </w:tcPr>
          <w:p>
            <w:pPr>
              <w:spacing w:after="0"/>
            </w:pPr>
            <w:r>
              <w:rPr>
                <w:sz w:val="15"/>
              </w:rPr>
              <w:t>No current rent.</w:t>
            </w:r>
          </w:p>
        </w:tc>
      </w:tr>
      <w:tr>
        <w:trPr>
          <w:cantSplit w:val="true"/>
        </w:trPr>
        <w:tc>
          <w:tcPr>
            <w:tcW w:type="dxa" w:w="2232"/>
            <w:vAlign w:val="center"/>
            <w:tcMar>
              <w:top w:w="80" w:type="dxa"/>
              <w:start w:w="90" w:type="dxa"/>
              <w:bottom w:w="80" w:type="dxa"/>
              <w:end w:w="90" w:type="dxa"/>
            </w:tcMar>
            <w:shd w:fill="F3F6F8"/>
          </w:tcPr>
          <w:p>
            <w:pPr>
              <w:spacing w:after="0"/>
            </w:pPr>
            <w:r>
              <w:rPr>
                <w:b/>
                <w:sz w:val="15"/>
              </w:rPr>
              <w:t>PF1 Building 4</w:t>
            </w:r>
          </w:p>
        </w:tc>
        <w:tc>
          <w:tcPr>
            <w:tcW w:type="dxa" w:w="1152"/>
            <w:vAlign w:val="center"/>
            <w:tcMar>
              <w:top w:w="80" w:type="dxa"/>
              <w:start w:w="90" w:type="dxa"/>
              <w:bottom w:w="80" w:type="dxa"/>
              <w:end w:w="90" w:type="dxa"/>
            </w:tcMar>
            <w:shd w:fill="F3F6F8"/>
          </w:tcPr>
          <w:p>
            <w:pPr>
              <w:spacing w:after="0"/>
            </w:pPr>
            <w:r>
              <w:rPr>
                <w:sz w:val="15"/>
              </w:rPr>
              <w:t>150</w:t>
            </w:r>
          </w:p>
        </w:tc>
        <w:tc>
          <w:tcPr>
            <w:tcW w:type="dxa" w:w="3888"/>
            <w:vAlign w:val="center"/>
            <w:tcMar>
              <w:top w:w="80" w:type="dxa"/>
              <w:start w:w="90" w:type="dxa"/>
              <w:bottom w:w="80" w:type="dxa"/>
              <w:end w:w="90" w:type="dxa"/>
            </w:tcMar>
            <w:shd w:fill="F3F6F8"/>
          </w:tcPr>
          <w:p>
            <w:pPr>
              <w:spacing w:after="0"/>
            </w:pPr>
            <w:r>
              <w:rPr>
                <w:sz w:val="15"/>
              </w:rPr>
              <w:t>Under construction; service-ready targeted mid-2027.</w:t>
            </w:r>
          </w:p>
        </w:tc>
        <w:tc>
          <w:tcPr>
            <w:tcW w:type="dxa" w:w="2808"/>
            <w:vAlign w:val="center"/>
            <w:tcMar>
              <w:top w:w="80" w:type="dxa"/>
              <w:start w:w="90" w:type="dxa"/>
              <w:bottom w:w="80" w:type="dxa"/>
              <w:end w:w="90" w:type="dxa"/>
            </w:tcMar>
            <w:shd w:fill="F3F6F8"/>
          </w:tcPr>
          <w:p>
            <w:pPr>
              <w:spacing w:after="0"/>
            </w:pPr>
            <w:r>
              <w:rPr>
                <w:sz w:val="15"/>
              </w:rPr>
              <w:t>No current rent; completion guarantee exposure remains.</w:t>
            </w:r>
          </w:p>
        </w:tc>
      </w:tr>
      <w:tr>
        <w:trPr>
          <w:cantSplit w:val="true"/>
        </w:trPr>
        <w:tc>
          <w:tcPr>
            <w:tcW w:type="dxa" w:w="2232"/>
            <w:vAlign w:val="center"/>
            <w:tcMar>
              <w:top w:w="80" w:type="dxa"/>
              <w:start w:w="90" w:type="dxa"/>
              <w:bottom w:w="80" w:type="dxa"/>
              <w:end w:w="90" w:type="dxa"/>
            </w:tcMar>
          </w:tcPr>
          <w:p>
            <w:pPr>
              <w:spacing w:after="0"/>
            </w:pPr>
            <w:r>
              <w:rPr>
                <w:b/>
                <w:sz w:val="15"/>
              </w:rPr>
              <w:t>PF2</w:t>
            </w:r>
          </w:p>
        </w:tc>
        <w:tc>
          <w:tcPr>
            <w:tcW w:type="dxa" w:w="1152"/>
            <w:vAlign w:val="center"/>
            <w:tcMar>
              <w:top w:w="80" w:type="dxa"/>
              <w:start w:w="90" w:type="dxa"/>
              <w:bottom w:w="80" w:type="dxa"/>
              <w:end w:w="90" w:type="dxa"/>
            </w:tcMar>
          </w:tcPr>
          <w:p>
            <w:pPr>
              <w:spacing w:after="0"/>
            </w:pPr>
            <w:r>
              <w:rPr>
                <w:sz w:val="15"/>
              </w:rPr>
              <w:t>200 contracted IT</w:t>
            </w:r>
          </w:p>
        </w:tc>
        <w:tc>
          <w:tcPr>
            <w:tcW w:type="dxa" w:w="3888"/>
            <w:vAlign w:val="center"/>
            <w:tcMar>
              <w:top w:w="80" w:type="dxa"/>
              <w:start w:w="90" w:type="dxa"/>
              <w:bottom w:w="80" w:type="dxa"/>
              <w:end w:w="90" w:type="dxa"/>
            </w:tcMar>
          </w:tcPr>
          <w:p>
            <w:pPr>
              <w:spacing w:after="0"/>
            </w:pPr>
            <w:r>
              <w:rPr>
                <w:sz w:val="15"/>
              </w:rPr>
              <w:t>Under construction; phased delivery planned.</w:t>
            </w:r>
          </w:p>
        </w:tc>
        <w:tc>
          <w:tcPr>
            <w:tcW w:type="dxa" w:w="2808"/>
            <w:vAlign w:val="center"/>
            <w:tcMar>
              <w:top w:w="80" w:type="dxa"/>
              <w:start w:w="90" w:type="dxa"/>
              <w:bottom w:w="80" w:type="dxa"/>
              <w:end w:w="90" w:type="dxa"/>
            </w:tcMar>
          </w:tcPr>
          <w:p>
            <w:pPr>
              <w:spacing w:after="0"/>
            </w:pPr>
            <w:r>
              <w:rPr>
                <w:sz w:val="15"/>
              </w:rPr>
              <w:t>No current rent until acceptance/commencement.</w:t>
            </w:r>
          </w:p>
        </w:tc>
      </w:tr>
      <w:tr>
        <w:trPr>
          <w:cantSplit w:val="true"/>
        </w:trPr>
        <w:tc>
          <w:tcPr>
            <w:tcW w:type="dxa" w:w="2232"/>
            <w:vAlign w:val="center"/>
            <w:tcMar>
              <w:top w:w="80" w:type="dxa"/>
              <w:start w:w="90" w:type="dxa"/>
              <w:bottom w:w="80" w:type="dxa"/>
              <w:end w:w="90" w:type="dxa"/>
            </w:tcMar>
            <w:shd w:fill="F3F6F8"/>
          </w:tcPr>
          <w:p>
            <w:pPr>
              <w:spacing w:after="0"/>
            </w:pPr>
            <w:r>
              <w:rPr>
                <w:b/>
                <w:sz w:val="15"/>
              </w:rPr>
              <w:t>Delta Forge 1</w:t>
            </w:r>
          </w:p>
        </w:tc>
        <w:tc>
          <w:tcPr>
            <w:tcW w:type="dxa" w:w="1152"/>
            <w:vAlign w:val="center"/>
            <w:tcMar>
              <w:top w:w="80" w:type="dxa"/>
              <w:start w:w="90" w:type="dxa"/>
              <w:bottom w:w="80" w:type="dxa"/>
              <w:end w:w="90" w:type="dxa"/>
            </w:tcMar>
            <w:shd w:fill="F3F6F8"/>
          </w:tcPr>
          <w:p>
            <w:pPr>
              <w:spacing w:after="0"/>
            </w:pPr>
            <w:r>
              <w:rPr>
                <w:sz w:val="15"/>
              </w:rPr>
              <w:t>300 contracted IT</w:t>
            </w:r>
          </w:p>
        </w:tc>
        <w:tc>
          <w:tcPr>
            <w:tcW w:type="dxa" w:w="3888"/>
            <w:vAlign w:val="center"/>
            <w:tcMar>
              <w:top w:w="80" w:type="dxa"/>
              <w:start w:w="90" w:type="dxa"/>
              <w:bottom w:w="80" w:type="dxa"/>
              <w:end w:w="90" w:type="dxa"/>
            </w:tcMar>
            <w:shd w:fill="F3F6F8"/>
          </w:tcPr>
          <w:p>
            <w:pPr>
              <w:spacing w:after="0"/>
            </w:pPr>
            <w:r>
              <w:rPr>
                <w:sz w:val="15"/>
              </w:rPr>
              <w:t>Under construction; initial operations targeted 2027.</w:t>
            </w:r>
          </w:p>
        </w:tc>
        <w:tc>
          <w:tcPr>
            <w:tcW w:type="dxa" w:w="2808"/>
            <w:vAlign w:val="center"/>
            <w:tcMar>
              <w:top w:w="80" w:type="dxa"/>
              <w:start w:w="90" w:type="dxa"/>
              <w:bottom w:w="80" w:type="dxa"/>
              <w:end w:w="90" w:type="dxa"/>
            </w:tcMar>
            <w:shd w:fill="F3F6F8"/>
          </w:tcPr>
          <w:p>
            <w:pPr>
              <w:spacing w:after="0"/>
            </w:pPr>
            <w:r>
              <w:rPr>
                <w:sz w:val="15"/>
              </w:rPr>
              <w:t>No current rent.</w:t>
            </w:r>
          </w:p>
        </w:tc>
      </w:tr>
      <w:tr>
        <w:trPr>
          <w:cantSplit w:val="true"/>
        </w:trPr>
        <w:tc>
          <w:tcPr>
            <w:tcW w:type="dxa" w:w="2232"/>
            <w:vAlign w:val="center"/>
            <w:tcMar>
              <w:top w:w="80" w:type="dxa"/>
              <w:start w:w="90" w:type="dxa"/>
              <w:bottom w:w="80" w:type="dxa"/>
              <w:end w:w="90" w:type="dxa"/>
            </w:tcMar>
          </w:tcPr>
          <w:p>
            <w:pPr>
              <w:spacing w:after="0"/>
            </w:pPr>
            <w:r>
              <w:rPr>
                <w:b/>
                <w:sz w:val="15"/>
              </w:rPr>
              <w:t>Polaris Forge 3</w:t>
            </w:r>
          </w:p>
        </w:tc>
        <w:tc>
          <w:tcPr>
            <w:tcW w:type="dxa" w:w="1152"/>
            <w:vAlign w:val="center"/>
            <w:tcMar>
              <w:top w:w="80" w:type="dxa"/>
              <w:start w:w="90" w:type="dxa"/>
              <w:bottom w:w="80" w:type="dxa"/>
              <w:end w:w="90" w:type="dxa"/>
            </w:tcMar>
          </w:tcPr>
          <w:p>
            <w:pPr>
              <w:spacing w:after="0"/>
            </w:pPr>
            <w:r>
              <w:rPr>
                <w:sz w:val="15"/>
              </w:rPr>
              <w:t>300 contracted IT</w:t>
            </w:r>
          </w:p>
        </w:tc>
        <w:tc>
          <w:tcPr>
            <w:tcW w:type="dxa" w:w="3888"/>
            <w:vAlign w:val="center"/>
            <w:tcMar>
              <w:top w:w="80" w:type="dxa"/>
              <w:start w:w="90" w:type="dxa"/>
              <w:bottom w:w="80" w:type="dxa"/>
              <w:end w:w="90" w:type="dxa"/>
            </w:tcMar>
          </w:tcPr>
          <w:p>
            <w:pPr>
              <w:spacing w:after="0"/>
            </w:pPr>
            <w:r>
              <w:rPr>
                <w:sz w:val="15"/>
              </w:rPr>
              <w:t>Lease signed; 2027–2028 target.</w:t>
            </w:r>
          </w:p>
        </w:tc>
        <w:tc>
          <w:tcPr>
            <w:tcW w:type="dxa" w:w="2808"/>
            <w:vAlign w:val="center"/>
            <w:tcMar>
              <w:top w:w="80" w:type="dxa"/>
              <w:start w:w="90" w:type="dxa"/>
              <w:bottom w:w="80" w:type="dxa"/>
              <w:end w:w="90" w:type="dxa"/>
            </w:tcMar>
          </w:tcPr>
          <w:p>
            <w:pPr>
              <w:spacing w:after="0"/>
            </w:pPr>
            <w:r>
              <w:rPr>
                <w:sz w:val="15"/>
              </w:rPr>
              <w:t>No current rent.</w:t>
            </w:r>
          </w:p>
        </w:tc>
      </w:tr>
      <w:tr>
        <w:trPr>
          <w:cantSplit w:val="true"/>
        </w:trPr>
        <w:tc>
          <w:tcPr>
            <w:tcW w:type="dxa" w:w="2232"/>
            <w:vAlign w:val="center"/>
            <w:tcMar>
              <w:top w:w="80" w:type="dxa"/>
              <w:start w:w="90" w:type="dxa"/>
              <w:bottom w:w="80" w:type="dxa"/>
              <w:end w:w="90" w:type="dxa"/>
            </w:tcMar>
            <w:shd w:fill="F3F6F8"/>
          </w:tcPr>
          <w:p>
            <w:pPr>
              <w:spacing w:after="0"/>
            </w:pPr>
            <w:r>
              <w:rPr>
                <w:b/>
                <w:sz w:val="15"/>
              </w:rPr>
              <w:t>Delta Forge 2</w:t>
            </w:r>
          </w:p>
        </w:tc>
        <w:tc>
          <w:tcPr>
            <w:tcW w:type="dxa" w:w="1152"/>
            <w:vAlign w:val="center"/>
            <w:tcMar>
              <w:top w:w="80" w:type="dxa"/>
              <w:start w:w="90" w:type="dxa"/>
              <w:bottom w:w="80" w:type="dxa"/>
              <w:end w:w="90" w:type="dxa"/>
            </w:tcMar>
            <w:shd w:fill="F3F6F8"/>
          </w:tcPr>
          <w:p>
            <w:pPr>
              <w:spacing w:after="0"/>
            </w:pPr>
            <w:r>
              <w:rPr>
                <w:sz w:val="15"/>
              </w:rPr>
              <w:t>210 contracted IT</w:t>
            </w:r>
          </w:p>
        </w:tc>
        <w:tc>
          <w:tcPr>
            <w:tcW w:type="dxa" w:w="3888"/>
            <w:vAlign w:val="center"/>
            <w:tcMar>
              <w:top w:w="80" w:type="dxa"/>
              <w:start w:w="90" w:type="dxa"/>
              <w:bottom w:w="80" w:type="dxa"/>
              <w:end w:w="90" w:type="dxa"/>
            </w:tcMar>
            <w:shd w:fill="F3F6F8"/>
          </w:tcPr>
          <w:p>
            <w:pPr>
              <w:spacing w:after="0"/>
            </w:pPr>
            <w:r>
              <w:rPr>
                <w:sz w:val="15"/>
              </w:rPr>
              <w:t>Lease signed; first-half 2028 target.</w:t>
            </w:r>
          </w:p>
        </w:tc>
        <w:tc>
          <w:tcPr>
            <w:tcW w:type="dxa" w:w="2808"/>
            <w:vAlign w:val="center"/>
            <w:tcMar>
              <w:top w:w="80" w:type="dxa"/>
              <w:start w:w="90" w:type="dxa"/>
              <w:bottom w:w="80" w:type="dxa"/>
              <w:end w:w="90" w:type="dxa"/>
            </w:tcMar>
            <w:shd w:fill="F3F6F8"/>
          </w:tcPr>
          <w:p>
            <w:pPr>
              <w:spacing w:after="0"/>
            </w:pPr>
            <w:r>
              <w:rPr>
                <w:sz w:val="15"/>
              </w:rPr>
              <w:t>No current rent.</w:t>
            </w:r>
          </w:p>
        </w:tc>
      </w:tr>
    </w:tbl>
    <w:p>
      <w:pPr>
        <w:spacing w:after="0"/>
      </w:pPr>
    </w:p>
    <w:p>
      <w:r>
        <w:t>Revenue quality. FY26 HPC Hosting revenue was $385.3M: $270.6M tenant fit-out services and $114.7M data-center rental and other revenue. Fit-out revenue is cost reimbursement plus contractual markup and is recognized as procurement and installation work occurs; it is not recurring base rent. FY26 tenant fit-out cost was approximately $258.1M, implying only about $12.5M gross contribution before other expenses, or roughly 4.6% on that disclosed stream.</w:t>
      </w:r>
      <w:r>
        <w:t xml:space="preserve"> </w:t>
      </w:r>
      <w:hyperlink r:id="rId9">
        <w:r>
          <w:rPr>
            <w:color w:val="1F4E79"/>
            <w:u w:val="single"/>
          </w:rPr>
          <w:t>[APLD FY26 10-K]</w:t>
        </w:r>
      </w:hyperlink>
    </w:p>
    <w:p>
      <w:r>
        <w:t>Funding. At May 31 APLD had $1.592B unrestricted cash, $2.561B restricted cash, about $5.0B debt, and $5.307B of contractual debt obligations. The company also provided completion guarantees requiring parent funding if project proceeds and available funds are insufficient. A quantified project-by-project cost-to-complete was not found, so PF3 and Delta Forge funding remains unresolved rather than “fully financed.”</w:t>
      </w:r>
      <w:r>
        <w:t xml:space="preserve"> </w:t>
      </w:r>
      <w:hyperlink r:id="rId9">
        <w:r>
          <w:rPr>
            <w:color w:val="1F4E79"/>
            <w:u w:val="single"/>
          </w:rPr>
          <w:t>[APLD liquidity and guarantees]</w:t>
        </w:r>
      </w:hyperlink>
    </w:p>
    <w:p>
      <w:r>
        <w:t>COMPANY: Portfolio monitor for CoreWeave, Oracle, Applied Digital, IREN, Nebius, Celestica and Sandisk</w:t>
      </w:r>
    </w:p>
    <w:p>
      <w:r>
        <w:t>TICKER: CRWV, ORCL, APLD, IREN, NBIS, CLS, SNDK</w:t>
      </w:r>
    </w:p>
    <w:p>
      <w:r>
        <w:t>AS-OF DATE: 1 October 2026 09:33 UTC</w:t>
      </w:r>
    </w:p>
    <w:p>
      <w:pPr>
        <w:pStyle w:val="Heading1"/>
      </w:pPr>
      <w:r>
        <w:t>1. STRONGEST COUNTERARGUMENT</w:t>
      </w:r>
    </w:p>
    <w:p>
      <w:pPr>
        <w:keepLines/>
      </w:pPr>
      <w:r>
        <w:t>The handoff’s stage discipline is directionally sound, but its current-revenue and valuation denominators are not fully auditable. The clearest potential overstatement is APLD: 175 MW is RFS/live, while only 100 MW was explicitly operational in the last Form 10-K. The clearest valuation omission is ORCL: the supplied EV excludes $288B of uncommenced data-center lease commitments. The clearest unit mismatch is NBIS: contracted power and land are not operating IT MW. These do not prove the thesis wrong; they show that “unchanged” does not equal “fully verified.”</w:t>
      </w:r>
    </w:p>
    <w:p>
      <w:pPr>
        <w:pStyle w:val="Heading1"/>
      </w:pPr>
      <w:r>
        <w:t>2. MOST FRAGILE ASSUMPTION</w:t>
      </w:r>
    </w:p>
    <w:p>
      <w:pPr>
        <w:keepLines/>
      </w:pPr>
      <w:r>
        <w:t>The most fragile assumption is that announced delivery language maps cleanly to revenue recognition. APLD RFS, IREN “delivered,” NBIS contracted power, and ORCL RPO each sit at different points between physical readiness and GAAP revenue. A one-stage classification error can inflate EV per current MW, understate remaining cash needs, or pull revenue forward by quarters.</w:t>
      </w:r>
    </w:p>
    <w:p>
      <w:pPr>
        <w:pStyle w:val="Heading1"/>
      </w:pPr>
      <w:r>
        <w:t>3. DEMAND RISK</w:t>
      </w:r>
    </w:p>
    <w:p>
      <w:pPr>
        <w:keepLines/>
      </w:pPr>
      <w:r>
        <w:t>Demand is supported by contracts and rapid AI infrastructure spending, but customer willingness to sign does not prove end-user utilization or attractive supplier returns. CRWV and the neoclouds still need utilization and renewal evidence; APLD and ORCL need proof that hyperscaler commitments compensate them for capital and lease obligations; CLS faces forecast digestion if customer deployments slip; SNDK demand is unusually price-sensitive. The demand challenge is economic quality, not the existence of orders.</w:t>
      </w:r>
    </w:p>
    <w:p>
      <w:pPr>
        <w:pStyle w:val="Heading1"/>
      </w:pPr>
      <w:r>
        <w:t>4. REVENUE / VOLUME RISK</w:t>
      </w:r>
    </w:p>
    <w:p>
      <w:pPr>
        <w:keepLines/>
      </w:pPr>
      <w:r>
        <w:t>APLD fit-out revenue can make reported growth look stronger than recurring rent growth. IREN’s $4B contracted ARR is a management metric for planned 2026 capacity and remains subject to commissioning, testing and customer acceptance. NBIS ARR and power figures require an operating-MW and utilization bridge. SNDK FY26 revenue rose 175%, but only mid-teens exabyte growth means pricing drove most of the increase. Volume therefore does not independently validate current margins.</w:t>
      </w:r>
      <w:r>
        <w:t xml:space="preserve"> </w:t>
      </w:r>
      <w:hyperlink r:id="rId12">
        <w:r>
          <w:rPr>
            <w:color w:val="1F4E79"/>
            <w:u w:val="single"/>
          </w:rPr>
          <w:t>[IREN acceptance condition]</w:t>
        </w:r>
      </w:hyperlink>
      <w:r>
        <w:t xml:space="preserve"> </w:t>
      </w:r>
      <w:hyperlink r:id="rId13">
        <w:r>
          <w:rPr>
            <w:color w:val="1F4E79"/>
            <w:u w:val="single"/>
          </w:rPr>
          <w:t>[SNDK FY26 10-K]</w:t>
        </w:r>
      </w:hyperlink>
    </w:p>
    <w:p>
      <w:pPr>
        <w:pStyle w:val="Heading1"/>
      </w:pPr>
      <w:r>
        <w:t>5. MARGIN RISK</w:t>
      </w:r>
    </w:p>
    <w:p>
      <w:pPr>
        <w:keepLines/>
      </w:pPr>
      <w:r>
        <w:t>Margin normalization is the portfolio’s main valuation transmission mechanism. Keep CLS at 6.5%–7.0% normalized operating margin despite 8.2% Q2 adjusted margin; three customers represented 32%, 17% and 14% of Q2 revenue. Keep SNDK’s 10% historical-cycle method beside the 26%–28% current-scale method: FY26 gross margin reached 71.5% after a 41-point expansion driven by sales and pricing, a pattern vulnerable to NAND supply response. APLD fit-out gross contribution was low relative to the headline revenue.</w:t>
      </w:r>
      <w:r>
        <w:t xml:space="preserve"> </w:t>
      </w:r>
      <w:hyperlink r:id="rId14">
        <w:r>
          <w:rPr>
            <w:color w:val="1F4E79"/>
            <w:u w:val="single"/>
          </w:rPr>
          <w:t>[CLS Q2 10-Q]</w:t>
        </w:r>
      </w:hyperlink>
      <w:r>
        <w:t xml:space="preserve"> </w:t>
      </w:r>
      <w:hyperlink r:id="rId15">
        <w:r>
          <w:rPr>
            <w:color w:val="1F4E79"/>
            <w:u w:val="single"/>
          </w:rPr>
          <w:t>[SNDK FY26 results]</w:t>
        </w:r>
      </w:hyperlink>
    </w:p>
    <w:p>
      <w:pPr>
        <w:pStyle w:val="Heading1"/>
      </w:pPr>
      <w:r>
        <w:t>6. CAPACITY / EXECUTION RISK</w:t>
      </w:r>
    </w:p>
    <w:p>
      <w:pPr>
        <w:keepLines/>
      </w:pPr>
      <w:r>
        <w:t>No stage advancement is verified after September 30. APLD PF1 Building 4, PF2, PF3 and Delta Forge projects remain dependent on construction and acceptance. IREN Horizon 2 was commissioning and Horizons 3–4 were in late-stage construction, targeting Q4 2026; that is not accepted capacity. NBIS has not disclosed site-level operating IT MW. ORCL’s $288B of future leases create a multi-year delivery and occupancy obligation.</w:t>
      </w:r>
      <w:r>
        <w:t xml:space="preserve"> </w:t>
      </w:r>
      <w:hyperlink r:id="rId16">
        <w:r>
          <w:rPr>
            <w:color w:val="1F4E79"/>
            <w:u w:val="single"/>
          </w:rPr>
          <w:t>[IREN FY26 results]</w:t>
        </w:r>
      </w:hyperlink>
    </w:p>
    <w:p>
      <w:pPr>
        <w:pStyle w:val="Heading1"/>
      </w:pPr>
      <w:r>
        <w:t>7. CUSTOMER / CONTRACT RISK</w:t>
      </w:r>
    </w:p>
    <w:p>
      <w:pPr>
        <w:keepLines/>
      </w:pPr>
      <w:r>
        <w:t>Contract labels require economic terms. APLD has take-or-pay leases, but delay termination rights, conditions precedent and possession timing still matter. Its Building 4 transfer was described through an MOU, not a completed assignment. IREN customer prepayments fund part of GPU capex but may add performance obligations. CLS is highly concentrated. NBIS’s Palantir partnership is a distribution arrangement following integration, not evidence of minimum revenue. CRWV counterparty and utilization concentration remain unresolved.</w:t>
      </w:r>
      <w:r>
        <w:t xml:space="preserve"> </w:t>
      </w:r>
      <w:hyperlink r:id="rId17">
        <w:r>
          <w:rPr>
            <w:color w:val="1F4E79"/>
            <w:u w:val="single"/>
          </w:rPr>
          <w:t>[Nebius Palantir partnership]</w:t>
        </w:r>
      </w:hyperlink>
    </w:p>
    <w:p>
      <w:pPr>
        <w:pStyle w:val="Heading1"/>
      </w:pPr>
      <w:r>
        <w:t>8. FINANCING / DILUTION RISK</w:t>
      </w:r>
    </w:p>
    <w:p>
      <w:pPr>
        <w:keepLines/>
      </w:pPr>
      <w:r>
        <w:t>Financing is available but not free. CRWV issued $3.0B of 2.875% converts due 2033 with potential equity settlement. NBIS closed roughly $5.75B of converts after Q2. APLD had $1.6B unrestricted cash versus $2.6B restricted cash, completion guarantees, redeemable preferred claims, and 22.35M unvested equity awards at May 31. IREN uses secured GPU financing and issued equity in the Mirantis transaction. Fully diluted EV must include these claims consistently.</w:t>
      </w:r>
      <w:r>
        <w:t xml:space="preserve"> </w:t>
      </w:r>
      <w:hyperlink r:id="rId18">
        <w:r>
          <w:rPr>
            <w:color w:val="1F4E79"/>
            <w:u w:val="single"/>
          </w:rPr>
          <w:t>[CRWV convert filing]</w:t>
        </w:r>
      </w:hyperlink>
      <w:r>
        <w:t xml:space="preserve"> </w:t>
      </w:r>
      <w:hyperlink r:id="rId19">
        <w:r>
          <w:rPr>
            <w:color w:val="1F4E79"/>
            <w:u w:val="single"/>
          </w:rPr>
          <w:t>[NBIS convert pricing]</w:t>
        </w:r>
      </w:hyperlink>
    </w:p>
    <w:p>
      <w:pPr>
        <w:pStyle w:val="Heading1"/>
      </w:pPr>
      <w:r>
        <w:t>9. COMPETITIVE RISK</w:t>
      </w:r>
    </w:p>
    <w:p>
      <w:pPr>
        <w:keepLines/>
      </w:pPr>
      <w:r>
        <w:t>The portfolio competes for power, transformers, GPUs, financing, customers and technical staff. APLD’s own 10-K names hyperscale developers and converted miners as direct competitors. CRWV, IREN and NBIS may face price pressure as hyperscalers add captive capacity. CLS can lose design wins or face customer insourcing. SNDK competes in a commodity-like NAND market where disciplined supply has historically been difficult to sustain.</w:t>
      </w:r>
    </w:p>
    <w:p>
      <w:pPr>
        <w:pStyle w:val="Heading1"/>
      </w:pPr>
      <w:r>
        <w:t>10. TECHNOLOGY / REGULATORY RISK</w:t>
      </w:r>
    </w:p>
    <w:p>
      <w:pPr>
        <w:keepLines/>
      </w:pPr>
      <w:r>
        <w:t>GPU generations can shorten economic lives and raise replacement capex before leases or debt amortize; CRWV’s useful-life policy needs reconciliation with real refresh cycles. Liquid-cooling commissioning adds execution risk for APLD and IREN. Data-center power, transmission, water, generator and permitting constraints can move possession dates. Export controls and sovereign-compute rules can alter NBIS, ORCL and SNDK product or geographic economics.</w:t>
      </w:r>
    </w:p>
    <w:p>
      <w:pPr>
        <w:pStyle w:val="Heading1"/>
      </w:pPr>
      <w:r>
        <w:t>11. VALUATION RISK</w:t>
      </w:r>
    </w:p>
    <w:p>
      <w:pPr>
        <w:keepLines/>
      </w:pPr>
      <w:r>
        <w:t>The anchors imply that execution must be unusually clean. NBIS at about 21.1x 2026 revenue midpoint and SNDK at $269.2B FD EV are most exposed to expectation compression. ORCL’s EV is incomplete as an economic-risk measure unless the $288B future lease program and project returns are modeled. APLD and IREN EV-per-MW comparisons are misleading unless accepted revenue-producing IT MW, ownership share, financing and remaining capex use identical definitions.</w:t>
      </w:r>
      <w:r>
        <w:t xml:space="preserve"> </w:t>
      </w:r>
      <w:hyperlink r:id="rId11">
        <w:r>
          <w:rPr>
            <w:color w:val="1F4E79"/>
            <w:u w:val="single"/>
          </w:rPr>
          <w:t>[Oracle commitments]</w:t>
        </w:r>
      </w:hyperlink>
    </w:p>
    <w:p>
      <w:pPr>
        <w:pStyle w:val="Heading1"/>
      </w:pPr>
      <w:r>
        <w:t>12. TIMING RISK</w:t>
      </w:r>
    </w:p>
    <w:p>
      <w:pPr>
        <w:keepLines/>
      </w:pPr>
      <w:r>
        <w:t>The thesis may be directionally correct but mistimed. APLD’s October 7 report can clarify rent commencement before early-2027 possession milestones. CLS and SNDK report October 27 and 29. IREN Horizon acceptance is a Q4 event, while ORCL reports December 14. CRWV and NBIS November dates remain unconfirmed. Revenue can lag RFS, delivery, energization or contract signing by testing and customer acceptance periods.</w:t>
      </w:r>
    </w:p>
    <w:p>
      <w:pPr>
        <w:pStyle w:val="Heading1"/>
      </w:pPr>
      <w:r>
        <w:t>13. POSSIBLE DOUBLE COUNTING OR DEFINITION ERRORS</w:t>
      </w:r>
    </w:p>
    <w:p>
      <w:pPr>
        <w:keepLines/>
      </w:pPr>
      <w:r>
        <w:t>Do not add APLD fit-out revenue to recurring rent, count both 100 MW operational and 175 MW live as separate capacity, or treat all 175 MW as accepted. Do not add IREN’s 40 MW operating disclosure to the 50 MW Horizon 1 delivery until site overlap is reconciled. Do not convert NBIS’s 5 GW land-and-power objective into IT capacity. Do not count ORCL RPO as funded project profit. Do not combine SNDK current-scale and historical-cycle margins in one valuation case.</w:t>
      </w:r>
    </w:p>
    <w:p>
      <w:pPr>
        <w:pStyle w:val="Heading1"/>
      </w:pPr>
      <w:r>
        <w:t>14. EVIDENCE CONTRADICTING THE THESIS</w:t>
      </w:r>
    </w:p>
    <w:p>
      <w:pPr>
        <w:keepLines/>
      </w:pPr>
      <w:r>
        <w:t>No evidence located contradicts the narrow claim that no post-September-30 stage change occurred before the cutoff. Evidence does contradict broader shorthand: APLD’s 175 MW is not fully verified as revenue-producing; IREN’s 40 MW and 50 MW are not demonstrably additive; NBIS power capacity is not operating compute; SNDK’s earnings improvement was disproportionately pricing-led; and ORCL’s headline EV omits a very large future lease program.</w:t>
      </w:r>
    </w:p>
    <w:p>
      <w:pPr>
        <w:pStyle w:val="Heading1"/>
      </w:pPr>
      <w:r>
        <w:t>15. INFORMATION THE BULL CASE HAS NOT PROVEN</w:t>
      </w:r>
    </w:p>
    <w:p>
      <w:pPr>
        <w:keepLines/>
      </w:pPr>
      <w:r>
        <w:t>The bull case has not proven CRWV lease-adjusted cash conversion and refresh returns; ORCL project-level OCI returns after lease and power obligations; APLD building-level acceptance, rent, cost-to-complete and guarantee exposure; IREN non-overlapping accepted MW and utilization; NBIS operating IT MW and returns on deployed capital; CLS inventory conversion at customer forecasts; or SNDK durable revenue per GB, NBM economics and free cash flow across a downcycle.</w:t>
      </w:r>
    </w:p>
    <w:p>
      <w:pPr>
        <w:pStyle w:val="Heading1"/>
      </w:pPr>
      <w:r>
        <w:t>16. THESIS INVALIDATION CONDITIONS</w:t>
      </w:r>
    </w:p>
    <w:p>
      <w:pPr>
        <w:keepLines/>
      </w:pPr>
      <w:r>
        <w:t>Smallest measurable tests: APLD fails to identify rent commencement for the 75 MW RFS phase or materially delays PF1/PF2 possession; IREN fails to show Horizon 2–4 customer acceptance in Q4 2026; NBIS still withholds operating IT MW and utilization at the next results while valuation relies on capacity; CLS guides below the supplied FY27 readiness case or adjusted margin trends below 7%; SNDK revenue per GB and gross margin reverse sharply before exabyte growth offsets price; ORCL discloses project returns that do not cover lease, power and capital costs; CRWV’s replacement capex and interest consume operating cash flow.</w:t>
      </w:r>
    </w:p>
    <w:p>
      <w:pPr>
        <w:pStyle w:val="Heading1"/>
      </w:pPr>
      <w:r>
        <w:t>17. WHAT WOULD MAKE THE BEAR CASE WRONG</w:t>
      </w:r>
    </w:p>
    <w:p>
      <w:pPr>
        <w:keepLines/>
      </w:pPr>
      <w:r>
        <w:t>The bear case weakens if APLD provides building-level acceptance and recurring rent with fully funded cost-to-complete; IREN reconciles 40 MW and 50 MW and shows accepted utilization with financed expansion; NBIS publishes operating IT MW, utilization and attractive asset returns; ORCL demonstrates customer funding and OCI returns comfortably above lease-adjusted capital costs; CRWV shows durable utilization and cash conversion after GPU refresh; CLS converts inventory while sustaining margins above 7%; and SNDK sustains revenue per GB and adjusted free cash flow through supply normalization.</w:t>
      </w:r>
    </w:p>
    <w:p>
      <w:pPr>
        <w:pStyle w:val="Heading1"/>
      </w:pPr>
      <w:r>
        <w:t>18. RED-TEAM SUMMARY</w:t>
      </w:r>
    </w:p>
    <w:p>
      <w:pPr>
        <w:keepLines/>
      </w:pPr>
      <w:r>
        <w:t>What changed: no qualifying operating or financing disclosure was found after September 30 and before 09:33 UTC on October 1. What did not change: every supplied EV anchor, capacity-stage rule, normalized margin method and event list. What became clearer: APLD’s 175 MW should be labeled RFS/live rather than accepted revenue-producing; its FY26 HPC revenue was mostly fit-out, and restricted cash cannot be netted as freely available cash. Because the requested close had not occurred and the underlying reports were absent, the valuation set is preserved but not independently re-underwritten.</w:t>
      </w:r>
    </w:p>
    <w:p>
      <w:pPr>
        <w:pStyle w:val="Heading1"/>
      </w:pPr>
      <w:r>
        <w:t>Source notes</w:t>
      </w:r>
    </w:p>
    <w:p>
      <w:pPr>
        <w:pStyle w:val="Smalltext"/>
      </w:pPr>
      <w:hyperlink r:id="rId9">
        <w:r>
          <w:rPr>
            <w:color w:val="1F4E79"/>
            <w:u w:val="single"/>
          </w:rPr>
          <w:t>Applied Digital FY26 Form 10-K and July 27 results</w:t>
        </w:r>
      </w:hyperlink>
    </w:p>
    <w:p>
      <w:pPr>
        <w:pStyle w:val="Smalltext"/>
      </w:pPr>
      <w:hyperlink r:id="rId11">
        <w:r>
          <w:rPr>
            <w:color w:val="1F4E79"/>
            <w:u w:val="single"/>
          </w:rPr>
          <w:t>Oracle Q1 FY27 Form 10-Q</w:t>
        </w:r>
      </w:hyperlink>
    </w:p>
    <w:p>
      <w:pPr>
        <w:pStyle w:val="Smalltext"/>
      </w:pPr>
      <w:hyperlink r:id="rId10">
        <w:r>
          <w:rPr>
            <w:color w:val="1F4E79"/>
            <w:u w:val="single"/>
          </w:rPr>
          <w:t>IREN FY26 Form 10-K and results</w:t>
        </w:r>
      </w:hyperlink>
    </w:p>
    <w:p>
      <w:pPr>
        <w:pStyle w:val="Smalltext"/>
      </w:pPr>
      <w:hyperlink r:id="rId20">
        <w:r>
          <w:rPr>
            <w:color w:val="1F4E79"/>
            <w:u w:val="single"/>
          </w:rPr>
          <w:t>Nebius Q2 2026 results</w:t>
        </w:r>
      </w:hyperlink>
    </w:p>
    <w:p>
      <w:pPr>
        <w:pStyle w:val="Smalltext"/>
      </w:pPr>
      <w:hyperlink r:id="rId21">
        <w:r>
          <w:rPr>
            <w:color w:val="1F4E79"/>
            <w:u w:val="single"/>
          </w:rPr>
          <w:t>Celestica Q2 2026 Form 10-Q</w:t>
        </w:r>
      </w:hyperlink>
    </w:p>
    <w:p>
      <w:pPr>
        <w:pStyle w:val="Smalltext"/>
      </w:pPr>
      <w:hyperlink r:id="rId13">
        <w:r>
          <w:rPr>
            <w:color w:val="1F4E79"/>
            <w:u w:val="single"/>
          </w:rPr>
          <w:t>Sandisk FY26 Form 10-K</w:t>
        </w:r>
      </w:hyperlink>
    </w:p>
    <w:p>
      <w:pPr>
        <w:pStyle w:val="Smalltext"/>
      </w:pPr>
      <w:hyperlink r:id="rId18">
        <w:r>
          <w:rPr>
            <w:color w:val="1F4E79"/>
            <w:u w:val="single"/>
          </w:rPr>
          <w:t>CoreWeave September 2026 convertible note filing</w:t>
        </w:r>
      </w:hyperlink>
    </w:p>
    <w:p>
      <w:pPr>
        <w:pStyle w:val="Heading1"/>
      </w:pPr>
      <w:r>
        <w:t>Conclusion</w:t>
      </w:r>
    </w:p>
    <w:p>
      <w:r>
        <w:t>This is a research conclusion, not a buy, sell, or hold recommendation. No personalized recommendation or unsupported price target is provided.</w:t>
      </w:r>
    </w:p>
    <w:p>
      <w:r>
        <w:rPr>
          <w:b/>
          <w:sz w:val="24"/>
        </w:rPr>
        <w:t>THESIS REQUIRES MORE EVIDENCE</w:t>
      </w:r>
    </w:p>
    <w:sectPr w:rsidR="00FC693F" w:rsidRPr="0006063C" w:rsidSect="00034616">
      <w:headerReference w:type="default" r:id="rId22"/>
      <w:footerReference w:type="default" r:id="rId23"/>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Confidential research work product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RED TEAM  |  VALUATION AND MARKET SETUP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c.gov/Archives/edgar/data/1144879/000114487926000048/apld-20260531.htm" TargetMode="External"/><Relationship Id="rId10" Type="http://schemas.openxmlformats.org/officeDocument/2006/relationships/hyperlink" Target="https://www.sec.gov/Archives/edgar/data/1878848/000187884826000052/iren-20260630.htm" TargetMode="External"/><Relationship Id="rId11" Type="http://schemas.openxmlformats.org/officeDocument/2006/relationships/hyperlink" Target="https://www.sec.gov/Archives/edgar/data/1341439/000119312526389274/orcl-20260831.htm" TargetMode="External"/><Relationship Id="rId12" Type="http://schemas.openxmlformats.org/officeDocument/2006/relationships/hyperlink" Target="https://www.sec.gov/Archives/edgar/data/1878848/000114036126028871/ef20078253_ex99-1.htm" TargetMode="External"/><Relationship Id="rId13" Type="http://schemas.openxmlformats.org/officeDocument/2006/relationships/hyperlink" Target="https://www.sec.gov/Archives/edgar/data/2023554/000162828026057406/sndk-20260703.htm" TargetMode="External"/><Relationship Id="rId14" Type="http://schemas.openxmlformats.org/officeDocument/2006/relationships/hyperlink" Target="https://www.sec.gov/Archives/edgar/data/1030894/000103089426000044/R10.htm" TargetMode="External"/><Relationship Id="rId15" Type="http://schemas.openxmlformats.org/officeDocument/2006/relationships/hyperlink" Target="https://investor.sandisk.com/news-releases/news-release-details/sandisk-reports-fiscal-fourth-quarter-2026-financial-results" TargetMode="External"/><Relationship Id="rId16" Type="http://schemas.openxmlformats.org/officeDocument/2006/relationships/hyperlink" Target="https://www.sec.gov/Archives/edgar/data/1878848/000187884826000051/irenreportsfy26results.htm" TargetMode="External"/><Relationship Id="rId17" Type="http://schemas.openxmlformats.org/officeDocument/2006/relationships/hyperlink" Target="https://www.sec.gov/Archives/edgar/data/1513845/000110465926105749/tm2624958d1_ex99-1.htm" TargetMode="External"/><Relationship Id="rId18" Type="http://schemas.openxmlformats.org/officeDocument/2006/relationships/hyperlink" Target="https://www.sec.gov/Archives/edgar/data/1769628/000176962826000432/crwv-20260917.htm" TargetMode="External"/><Relationship Id="rId19" Type="http://schemas.openxmlformats.org/officeDocument/2006/relationships/hyperlink" Target="https://www.sec.gov/Archives/edgar/data/1513845/000110465926098924/tm2623617d1_ex99-1.htm" TargetMode="External"/><Relationship Id="rId20" Type="http://schemas.openxmlformats.org/officeDocument/2006/relationships/hyperlink" Target="https://www.sec.gov/Archives/edgar/data/1513845/000110465926094568/tm2622968d1_ex99-1.htm" TargetMode="External"/><Relationship Id="rId21" Type="http://schemas.openxmlformats.org/officeDocument/2006/relationships/hyperlink" Target="https://www.sec.gov/Archives/edgar/data/1030894/000103089426000044/cls-20260630.htm" TargetMode="External"/><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Valuation and Market Setup Monitoring</dc:title>
  <dc:subject>CRWV ORCL APLD IREN NBIS CLS SNDK monitoring as of 1 October 2026 09:33 UTC</dc:subject>
  <dc:creator>RED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