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3C096E19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>ONU e equívocos comuns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proofErr w:type="spellStart"/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proofErr w:type="spellEnd"/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proofErr w:type="spellStart"/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6498609F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propostos, baseados nas perguntas desse site. Ao final, 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</w:t>
      </w:r>
      <w:proofErr w:type="spellStart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5A1AB04D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You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are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probably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wrong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about</w:t>
      </w:r>
      <w:proofErr w:type="spellEnd"/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>. Disponível em:  &lt;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Pr="00303077">
        <w:rPr>
          <w:rFonts w:ascii="Segoe UI" w:hAnsi="Segoe UI" w:cs="Segoe UI"/>
        </w:rPr>
        <w:t xml:space="preserve"> </w:t>
      </w:r>
      <w:r w:rsidR="00005ADB" w:rsidRPr="00303077">
        <w:rPr>
          <w:rStyle w:val="Forte"/>
          <w:rFonts w:ascii="Segoe UI" w:hAnsi="Segoe UI" w:cs="Segoe UI"/>
          <w:color w:val="444444"/>
        </w:rPr>
        <w:t xml:space="preserve">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DE511D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F81C4" w14:textId="77777777" w:rsidR="00467F0D" w:rsidRDefault="00467F0D" w:rsidP="00344D3F">
      <w:pPr>
        <w:spacing w:after="0" w:line="240" w:lineRule="auto"/>
      </w:pPr>
      <w:r>
        <w:separator/>
      </w:r>
    </w:p>
  </w:endnote>
  <w:endnote w:type="continuationSeparator" w:id="0">
    <w:p w14:paraId="62ABF103" w14:textId="77777777" w:rsidR="00467F0D" w:rsidRDefault="00467F0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015CC" w14:textId="77777777" w:rsidR="00467F0D" w:rsidRDefault="00467F0D" w:rsidP="00344D3F">
      <w:pPr>
        <w:spacing w:after="0" w:line="240" w:lineRule="auto"/>
      </w:pPr>
      <w:r>
        <w:separator/>
      </w:r>
    </w:p>
  </w:footnote>
  <w:footnote w:type="continuationSeparator" w:id="0">
    <w:p w14:paraId="540E7AFB" w14:textId="77777777" w:rsidR="00467F0D" w:rsidRDefault="00467F0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4505"/>
    <w:rsid w:val="00D96064"/>
    <w:rsid w:val="00DD2334"/>
    <w:rsid w:val="00DE11A4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2021-04-02T03:40:00Z</cp:lastPrinted>
  <dcterms:created xsi:type="dcterms:W3CDTF">2021-04-01T14:38:00Z</dcterms:created>
  <dcterms:modified xsi:type="dcterms:W3CDTF">2021-04-02T03:40:00Z</dcterms:modified>
</cp:coreProperties>
</file>