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E3A5F"/>
          <w:sz w:val="56"/>
          <w:szCs w:val="56"/>
        </w:rPr>
        <w:t xml:space="preserve">AttorneyIntake</w:t>
      </w:r>
    </w:p>
    <w:p>
      <w:pPr>
        <w:spacing w:after="200" w:before="0"/>
        <w:jc w:val="center"/>
      </w:pPr>
      <w:r>
        <w:rPr>
          <w:rFonts w:ascii="Arial" w:cs="Arial" w:eastAsia="Arial" w:hAnsi="Arial"/>
          <w:color w:val="4A4A4A"/>
          <w:sz w:val="36"/>
          <w:szCs w:val="36"/>
        </w:rPr>
        <w:t xml:space="preserve">Security Vulnerability Assessment</w:t>
      </w:r>
    </w:p>
    <w:p>
      <w:pPr>
        <w:pBdr>
          <w:bottom w:val="single" w:color="1E3A5F" w:sz="6"/>
        </w:pBdr>
        <w:spacing w:after="80" w:before="0"/>
        <w:jc w:val="center"/>
      </w:pPr>
      <w:r>
        <w:t xml:space="preserve"/>
      </w:r>
    </w:p>
    <w:p>
      <w:pPr>
        <w:spacing w:after="0" w:before="120"/>
      </w:pPr>
      <w:r>
        <w:t xml:space="preserve"/>
      </w:r>
    </w:p>
    <w:p>
      <w:pPr>
        <w:jc w:val="center"/>
      </w:pPr>
      <w:r>
        <w:rPr>
          <w:rFonts w:ascii="Arial" w:cs="Arial" w:eastAsia="Arial" w:hAnsi="Arial"/>
          <w:color w:val="4A4A4A"/>
          <w:sz w:val="22"/>
          <w:szCs w:val="22"/>
        </w:rPr>
        <w:t xml:space="preserve">Prepared for: Law Office of Thomas M. Hogan</w:t>
      </w:r>
    </w:p>
    <w:p>
      <w:pPr>
        <w:jc w:val="center"/>
      </w:pPr>
      <w:r>
        <w:rPr>
          <w:rFonts w:ascii="Arial" w:cs="Arial" w:eastAsia="Arial" w:hAnsi="Arial"/>
          <w:color w:val="4A4A4A"/>
          <w:sz w:val="22"/>
          <w:szCs w:val="22"/>
        </w:rPr>
        <w:t xml:space="preserve">Repository: estradaconsulting/AttorneyIntake</w:t>
      </w:r>
    </w:p>
    <w:p>
      <w:pPr>
        <w:spacing w:after="80"/>
        <w:jc w:val="center"/>
      </w:pPr>
      <w:r>
        <w:rPr>
          <w:rFonts w:ascii="Arial" w:cs="Arial" w:eastAsia="Arial" w:hAnsi="Arial"/>
          <w:color w:val="4A4A4A"/>
          <w:sz w:val="22"/>
          <w:szCs w:val="22"/>
        </w:rPr>
        <w:t xml:space="preserve">Date: April 15, 2026</w:t>
      </w:r>
    </w:p>
    <w:p>
      <w:pPr>
        <w:spacing w:after="0" w:before="200"/>
      </w:pPr>
      <w:r>
        <w:t xml:space="preserve"/>
      </w:r>
    </w:p>
    <w:p>
      <w:pPr>
        <w:spacing w:after="120" w:before="0"/>
        <w:jc w:val="center"/>
      </w:pPr>
      <w:r>
        <w:rPr>
          <w:rFonts w:ascii="Arial" w:cs="Arial" w:eastAsia="Arial" w:hAnsi="Arial"/>
          <w:b/>
          <w:bCs/>
          <w:color w:val="1E3A5F"/>
          <w:sz w:val="28"/>
          <w:szCs w:val="28"/>
        </w:rPr>
        <w:t xml:space="preserve">Total Findings: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F4CCCC" w:val="clear"/>
            <w:tcMar>
              <w:top w:type="dxa" w:w="100"/>
              <w:left w:type="dxa" w:w="180"/>
              <w:bottom w:type="dxa" w:w="100"/>
              <w:right w:type="dxa" w:w="120"/>
            </w:tcMar>
          </w:tcPr>
          <w:p>
            <w:r>
              <w:rPr>
                <w:rFonts w:ascii="Arial" w:cs="Arial" w:eastAsia="Arial" w:hAnsi="Arial"/>
                <w:b/>
                <w:bCs/>
                <w:color w:val="C0392B"/>
                <w:sz w:val="22"/>
                <w:szCs w:val="22"/>
              </w:rPr>
              <w:t xml:space="preserve">CRITICAL</w:t>
            </w:r>
          </w:p>
        </w:tc>
        <w:tc>
          <w:tcPr>
            <w:tcW w:type="dxa" w:w="7200"/>
            <w:tcBorders>
              <w:top w:val="single" w:color="CCCCCC" w:sz="1"/>
              <w:left w:val="single" w:color="CCCCCC" w:sz="1"/>
              <w:bottom w:val="single" w:color="CCCCCC" w:sz="1"/>
              <w:right w:val="single" w:color="CCCCCC" w:sz="1"/>
            </w:tcBorders>
            <w:tcMar>
              <w:top w:type="dxa" w:w="100"/>
              <w:left w:type="dxa" w:w="180"/>
              <w:bottom w:type="dxa" w:w="100"/>
              <w:right w:type="dxa" w:w="120"/>
            </w:tcMar>
          </w:tcPr>
          <w:p>
            <w:r>
              <w:rPr>
                <w:rFonts w:ascii="Arial" w:cs="Arial" w:eastAsia="Arial" w:hAnsi="Arial"/>
                <w:color w:val="4A4A4A"/>
                <w:sz w:val="22"/>
                <w:szCs w:val="22"/>
              </w:rPr>
              <w:t xml:space="preserve">4 findings</w:t>
            </w:r>
          </w:p>
        </w:tc>
      </w:tr>
      <w:tr>
        <w:tc>
          <w:tcPr>
            <w:tcW w:type="dxa" w:w="2160"/>
            <w:tcBorders>
              <w:top w:val="single" w:color="CCCCCC" w:sz="1"/>
              <w:left w:val="single" w:color="CCCCCC" w:sz="1"/>
              <w:bottom w:val="single" w:color="CCCCCC" w:sz="1"/>
              <w:right w:val="single" w:color="CCCCCC" w:sz="1"/>
            </w:tcBorders>
            <w:shd w:fill="FCE5CD" w:val="clear"/>
            <w:tcMar>
              <w:top w:type="dxa" w:w="100"/>
              <w:left w:type="dxa" w:w="180"/>
              <w:bottom w:type="dxa" w:w="100"/>
              <w:right w:type="dxa" w:w="120"/>
            </w:tcMar>
          </w:tcPr>
          <w:p>
            <w:r>
              <w:rPr>
                <w:rFonts w:ascii="Arial" w:cs="Arial" w:eastAsia="Arial" w:hAnsi="Arial"/>
                <w:b/>
                <w:bCs/>
                <w:color w:val="A04000"/>
                <w:sz w:val="22"/>
                <w:szCs w:val="22"/>
              </w:rPr>
              <w:t xml:space="preserve">HIGH</w:t>
            </w:r>
          </w:p>
        </w:tc>
        <w:tc>
          <w:tcPr>
            <w:tcW w:type="dxa" w:w="7200"/>
            <w:tcBorders>
              <w:top w:val="single" w:color="CCCCCC" w:sz="1"/>
              <w:left w:val="single" w:color="CCCCCC" w:sz="1"/>
              <w:bottom w:val="single" w:color="CCCCCC" w:sz="1"/>
              <w:right w:val="single" w:color="CCCCCC" w:sz="1"/>
            </w:tcBorders>
            <w:tcMar>
              <w:top w:type="dxa" w:w="100"/>
              <w:left w:type="dxa" w:w="180"/>
              <w:bottom w:type="dxa" w:w="100"/>
              <w:right w:type="dxa" w:w="120"/>
            </w:tcMar>
          </w:tcPr>
          <w:p>
            <w:r>
              <w:rPr>
                <w:rFonts w:ascii="Arial" w:cs="Arial" w:eastAsia="Arial" w:hAnsi="Arial"/>
                <w:color w:val="4A4A4A"/>
                <w:sz w:val="22"/>
                <w:szCs w:val="22"/>
              </w:rPr>
              <w:t xml:space="preserve">7 findings</w:t>
            </w:r>
          </w:p>
        </w:tc>
      </w:tr>
      <w:tr>
        <w:tc>
          <w:tcPr>
            <w:tcW w:type="dxa" w:w="21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20"/>
            </w:tcMar>
          </w:tcPr>
          <w:p>
            <w:r>
              <w:rPr>
                <w:rFonts w:ascii="Arial" w:cs="Arial" w:eastAsia="Arial" w:hAnsi="Arial"/>
                <w:b/>
                <w:bCs/>
                <w:color w:val="7A5800"/>
                <w:sz w:val="22"/>
                <w:szCs w:val="22"/>
              </w:rPr>
              <w:t xml:space="preserve">MEDIUM</w:t>
            </w:r>
          </w:p>
        </w:tc>
        <w:tc>
          <w:tcPr>
            <w:tcW w:type="dxa" w:w="7200"/>
            <w:tcBorders>
              <w:top w:val="single" w:color="CCCCCC" w:sz="1"/>
              <w:left w:val="single" w:color="CCCCCC" w:sz="1"/>
              <w:bottom w:val="single" w:color="CCCCCC" w:sz="1"/>
              <w:right w:val="single" w:color="CCCCCC" w:sz="1"/>
            </w:tcBorders>
            <w:tcMar>
              <w:top w:type="dxa" w:w="100"/>
              <w:left w:type="dxa" w:w="180"/>
              <w:bottom w:type="dxa" w:w="100"/>
              <w:right w:type="dxa" w:w="120"/>
            </w:tcMar>
          </w:tcPr>
          <w:p>
            <w:r>
              <w:rPr>
                <w:rFonts w:ascii="Arial" w:cs="Arial" w:eastAsia="Arial" w:hAnsi="Arial"/>
                <w:color w:val="4A4A4A"/>
                <w:sz w:val="22"/>
                <w:szCs w:val="22"/>
              </w:rPr>
              <w:t xml:space="preserve">8 findings</w:t>
            </w:r>
          </w:p>
        </w:tc>
      </w:tr>
    </w:tbl>
    <w:p>
      <w:r>
        <w:br w:type="page"/>
      </w:r>
    </w:p>
    <w:p>
      <w:pPr>
        <w:pStyle w:val="Heading1"/>
        <w:spacing w:after="100" w:before="320"/>
      </w:pPr>
      <w:r>
        <w:rPr>
          <w:rFonts w:ascii="Arial" w:cs="Arial" w:eastAsia="Arial" w:hAnsi="Arial"/>
          <w:b/>
          <w:bCs/>
          <w:color w:val="1E3A5F"/>
          <w:sz w:val="32"/>
          <w:szCs w:val="32"/>
        </w:rPr>
        <w:t xml:space="preserve">1. Executive Summary</w:t>
      </w:r>
    </w:p>
    <w:p>
      <w:pPr>
        <w:spacing w:after="80" w:before="80"/>
      </w:pPr>
      <w:r>
        <w:rPr>
          <w:rFonts w:ascii="Arial" w:cs="Arial" w:eastAsia="Arial" w:hAnsi="Arial"/>
          <w:color w:val="4A4A4A"/>
          <w:sz w:val="22"/>
          <w:szCs w:val="22"/>
        </w:rPr>
        <w:t xml:space="preserve">This report documents 19 security vulnerabilities identified through manual code review of the AttorneyIntake application (Hogan4Eviction). The application handles highly sensitive legal intake data including PII, tenant physical descriptions, and eviction case details. Several vulnerabilities are immediately exploitable and require urgent remediation before the application is deployed to production or made accessible outside a private local network.</w:t>
      </w:r>
    </w:p>
    <w:p>
      <w:pPr>
        <w:spacing w:after="0" w:before="80"/>
      </w:pPr>
      <w:r>
        <w:t xml:space="preserve"/>
      </w:r>
    </w:p>
    <w:p>
      <w:pPr>
        <w:spacing w:after="80" w:before="80"/>
      </w:pPr>
      <w:r>
        <w:rPr>
          <w:rFonts w:ascii="Arial" w:cs="Arial" w:eastAsia="Arial" w:hAnsi="Arial"/>
          <w:color w:val="4A4A4A"/>
          <w:sz w:val="22"/>
          <w:szCs w:val="22"/>
        </w:rPr>
        <w:t xml:space="preserve">The most critical finding is a complete absence of authentication and authorization across all API endpoints. Combined with predictable resource identifiers, an unauthenticated attacker can enumerate, read, and modify every intake case in the system. Two path traversal vulnerabilities allow arbitrary file reads from the server filesystem, and file upload validation can be trivially bypassed to upload malicious files.</w:t>
      </w:r>
    </w:p>
    <w:p>
      <w:pPr>
        <w:spacing w:after="0" w:before="80"/>
      </w:pPr>
      <w:r>
        <w:t xml:space="preserve"/>
      </w:r>
    </w:p>
    <w:p>
      <w:pPr>
        <w:spacing w:after="80" w:before="80"/>
      </w:pPr>
      <w:r>
        <w:rPr>
          <w:rFonts w:ascii="Arial" w:cs="Arial" w:eastAsia="Arial" w:hAnsi="Arial"/>
          <w:color w:val="4A4A4A"/>
          <w:sz w:val="22"/>
          <w:szCs w:val="22"/>
        </w:rPr>
        <w:t xml:space="preserve">Given the nature of the data — attorney-client communications, tenant PII including race and physical characteristics — the absence of audit logging is also a significant compliance concern.</w:t>
      </w:r>
    </w:p>
    <w:p>
      <w:pPr>
        <w:spacing w:after="0" w:before="160"/>
      </w:pPr>
      <w:r>
        <w:t xml:space="preserve"/>
      </w:r>
    </w:p>
    <w:p>
      <w:pPr>
        <w:pStyle w:val="Heading1"/>
        <w:spacing w:after="100" w:before="320"/>
      </w:pPr>
      <w:r>
        <w:rPr>
          <w:rFonts w:ascii="Arial" w:cs="Arial" w:eastAsia="Arial" w:hAnsi="Arial"/>
          <w:b/>
          <w:bCs/>
          <w:color w:val="1E3A5F"/>
          <w:sz w:val="32"/>
          <w:szCs w:val="32"/>
        </w:rPr>
        <w:t xml:space="preserve">2. Scope and Methodology</w:t>
      </w:r>
    </w:p>
    <w:p>
      <w:pPr>
        <w:spacing w:after="80" w:before="80"/>
      </w:pPr>
      <w:r>
        <w:rPr>
          <w:rFonts w:ascii="Arial" w:cs="Arial" w:eastAsia="Arial" w:hAnsi="Arial"/>
          <w:color w:val="4A4A4A"/>
          <w:sz w:val="22"/>
          <w:szCs w:val="22"/>
        </w:rPr>
        <w:t xml:space="preserve">The assessment covered the full source tree committed to the repository as of April 15, 2026:</w:t>
      </w:r>
    </w:p>
    <w:p>
      <w:pPr>
        <w:spacing w:after="0" w:before="60"/>
      </w:pPr>
      <w:r>
        <w:t xml:space="preserve"/>
      </w:r>
    </w:p>
    <w:p>
      <w:pPr>
        <w:pStyle w:val="ListParagraph"/>
        <w:numPr>
          <w:ilvl w:val="0"/>
          <w:numId w:val="2"/>
        </w:numPr>
        <w:spacing w:after="40" w:before="40"/>
      </w:pPr>
      <w:r>
        <w:rPr>
          <w:rFonts w:ascii="Arial" w:cs="Arial" w:eastAsia="Arial" w:hAnsi="Arial"/>
          <w:color w:val="4A4A4A"/>
          <w:sz w:val="22"/>
          <w:szCs w:val="22"/>
        </w:rPr>
        <w:t xml:space="preserve">Backend: ASP.NET Core 8 Web API (C#) — controllers, services, repository layer, EF Core infrastructure</w:t>
      </w:r>
    </w:p>
    <w:p>
      <w:pPr>
        <w:pStyle w:val="ListParagraph"/>
        <w:numPr>
          <w:ilvl w:val="0"/>
          <w:numId w:val="2"/>
        </w:numPr>
        <w:spacing w:after="40" w:before="40"/>
      </w:pPr>
      <w:r>
        <w:rPr>
          <w:rFonts w:ascii="Arial" w:cs="Arial" w:eastAsia="Arial" w:hAnsi="Arial"/>
          <w:color w:val="4A4A4A"/>
          <w:sz w:val="22"/>
          <w:szCs w:val="22"/>
        </w:rPr>
        <w:t xml:space="preserve">Frontend: React 18 + TypeScript + Vite application</w:t>
      </w:r>
    </w:p>
    <w:p>
      <w:pPr>
        <w:pStyle w:val="ListParagraph"/>
        <w:numPr>
          <w:ilvl w:val="0"/>
          <w:numId w:val="2"/>
        </w:numPr>
        <w:spacing w:after="40" w:before="40"/>
      </w:pPr>
      <w:r>
        <w:rPr>
          <w:rFonts w:ascii="Arial" w:cs="Arial" w:eastAsia="Arial" w:hAnsi="Arial"/>
          <w:color w:val="4A4A4A"/>
          <w:sz w:val="22"/>
          <w:szCs w:val="22"/>
        </w:rPr>
        <w:t xml:space="preserve">Infrastructure: Docker Compose, Dockerfiles, nginx configuration, environment variable templates</w:t>
      </w:r>
    </w:p>
    <w:p>
      <w:pPr>
        <w:spacing w:after="0" w:before="80"/>
      </w:pPr>
      <w:r>
        <w:t xml:space="preserve"/>
      </w:r>
    </w:p>
    <w:p>
      <w:pPr>
        <w:spacing w:after="80" w:before="80"/>
      </w:pPr>
      <w:r>
        <w:rPr>
          <w:rFonts w:ascii="Arial" w:cs="Arial" w:eastAsia="Arial" w:hAnsi="Arial"/>
          <w:color w:val="4A4A4A"/>
          <w:sz w:val="22"/>
          <w:szCs w:val="22"/>
        </w:rPr>
        <w:t xml:space="preserve">The review was conducted via static code analysis only. No dynamic testing, penetration testing, or dependency vulnerability scanning was performed.</w:t>
      </w:r>
    </w:p>
    <w:p>
      <w:pPr>
        <w:spacing w:after="0" w:before="160"/>
      </w:pPr>
      <w:r>
        <w:t xml:space="preserve"/>
      </w:r>
    </w:p>
    <w:p>
      <w:pPr>
        <w:pStyle w:val="Heading1"/>
        <w:spacing w:after="100" w:before="320"/>
      </w:pPr>
      <w:r>
        <w:rPr>
          <w:rFonts w:ascii="Arial" w:cs="Arial" w:eastAsia="Arial" w:hAnsi="Arial"/>
          <w:b/>
          <w:bCs/>
          <w:color w:val="1E3A5F"/>
          <w:sz w:val="32"/>
          <w:szCs w:val="32"/>
        </w:rPr>
        <w:t xml:space="preserve">3. Findings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4320"/>
        <w:gridCol w:w="2520"/>
      </w:tblGrid>
      <w:tr>
        <w:tc>
          <w:tcPr>
            <w:tcW w:type="dxa" w:w="1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ID</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Severity</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Title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Area</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color w:val="4A4A4A"/>
                <w:sz w:val="19"/>
                <w:szCs w:val="19"/>
              </w:rPr>
              <w:t xml:space="preserve">C-01</w:t>
            </w:r>
          </w:p>
        </w:tc>
        <w:tc>
          <w:tcPr>
            <w:tcW w:type="dxa" w:w="1440"/>
            <w:tcBorders>
              <w:top w:val="single" w:color="CCCCCC" w:sz="1"/>
              <w:left w:val="single" w:color="CCCCCC" w:sz="1"/>
              <w:bottom w:val="single" w:color="CCCCCC" w:sz="1"/>
              <w:right w:val="single" w:color="CCCCCC" w:sz="1"/>
            </w:tcBorders>
            <w:shd w:fill="F4CCCC" w:val="clear"/>
            <w:tcMar>
              <w:top w:type="dxa" w:w="60"/>
              <w:left w:type="dxa" w:w="120"/>
              <w:bottom w:type="dxa" w:w="60"/>
              <w:right w:type="dxa" w:w="80"/>
            </w:tcMar>
          </w:tcPr>
          <w:p>
            <w:r>
              <w:rPr>
                <w:rFonts w:ascii="Arial" w:cs="Arial" w:eastAsia="Arial" w:hAnsi="Arial"/>
                <w:b/>
                <w:bCs/>
                <w:color w:val="C0392B"/>
                <w:sz w:val="18"/>
                <w:szCs w:val="18"/>
              </w:rPr>
              <w:t xml:space="preserve">CRITICAL</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No Authentication on Any API Endpoint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Authorization</w:t>
            </w:r>
          </w:p>
        </w:tc>
      </w:tr>
      <w:tr>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Courier New" w:cs="Courier New" w:eastAsia="Courier New" w:hAnsi="Courier New"/>
                <w:color w:val="4A4A4A"/>
                <w:sz w:val="19"/>
                <w:szCs w:val="19"/>
              </w:rPr>
              <w:t xml:space="preserve">C-02</w:t>
            </w:r>
          </w:p>
        </w:tc>
        <w:tc>
          <w:tcPr>
            <w:tcW w:type="dxa" w:w="1440"/>
            <w:tcBorders>
              <w:top w:val="single" w:color="CCCCCC" w:sz="1"/>
              <w:left w:val="single" w:color="CCCCCC" w:sz="1"/>
              <w:bottom w:val="single" w:color="CCCCCC" w:sz="1"/>
              <w:right w:val="single" w:color="CCCCCC" w:sz="1"/>
            </w:tcBorders>
            <w:shd w:fill="F4CCCC" w:val="clear"/>
            <w:tcMar>
              <w:top w:type="dxa" w:w="60"/>
              <w:left w:type="dxa" w:w="120"/>
              <w:bottom w:type="dxa" w:w="60"/>
              <w:right w:type="dxa" w:w="80"/>
            </w:tcMar>
          </w:tcPr>
          <w:p>
            <w:r>
              <w:rPr>
                <w:rFonts w:ascii="Arial" w:cs="Arial" w:eastAsia="Arial" w:hAnsi="Arial"/>
                <w:b/>
                <w:bCs/>
                <w:color w:val="C0392B"/>
                <w:sz w:val="18"/>
                <w:szCs w:val="18"/>
              </w:rPr>
              <w:t xml:space="preserve">CRITICAL</w:t>
            </w:r>
          </w:p>
        </w:tc>
        <w:tc>
          <w:tcPr>
            <w:tcW w:type="dxa" w:w="4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Path Traversal in File Download Endpoint</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File Handling</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color w:val="4A4A4A"/>
                <w:sz w:val="19"/>
                <w:szCs w:val="19"/>
              </w:rPr>
              <w:t xml:space="preserve">C-03</w:t>
            </w:r>
          </w:p>
        </w:tc>
        <w:tc>
          <w:tcPr>
            <w:tcW w:type="dxa" w:w="1440"/>
            <w:tcBorders>
              <w:top w:val="single" w:color="CCCCCC" w:sz="1"/>
              <w:left w:val="single" w:color="CCCCCC" w:sz="1"/>
              <w:bottom w:val="single" w:color="CCCCCC" w:sz="1"/>
              <w:right w:val="single" w:color="CCCCCC" w:sz="1"/>
            </w:tcBorders>
            <w:shd w:fill="F4CCCC" w:val="clear"/>
            <w:tcMar>
              <w:top w:type="dxa" w:w="60"/>
              <w:left w:type="dxa" w:w="120"/>
              <w:bottom w:type="dxa" w:w="60"/>
              <w:right w:type="dxa" w:w="80"/>
            </w:tcMar>
          </w:tcPr>
          <w:p>
            <w:r>
              <w:rPr>
                <w:rFonts w:ascii="Arial" w:cs="Arial" w:eastAsia="Arial" w:hAnsi="Arial"/>
                <w:b/>
                <w:bCs/>
                <w:color w:val="C0392B"/>
                <w:sz w:val="18"/>
                <w:szCs w:val="18"/>
              </w:rPr>
              <w:t xml:space="preserve">CRITICAL</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Path Traversal in Local Submit Endpoint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File Handling</w:t>
            </w:r>
          </w:p>
        </w:tc>
      </w:tr>
      <w:tr>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Courier New" w:cs="Courier New" w:eastAsia="Courier New" w:hAnsi="Courier New"/>
                <w:color w:val="4A4A4A"/>
                <w:sz w:val="19"/>
                <w:szCs w:val="19"/>
              </w:rPr>
              <w:t xml:space="preserve">C-04</w:t>
            </w:r>
          </w:p>
        </w:tc>
        <w:tc>
          <w:tcPr>
            <w:tcW w:type="dxa" w:w="1440"/>
            <w:tcBorders>
              <w:top w:val="single" w:color="CCCCCC" w:sz="1"/>
              <w:left w:val="single" w:color="CCCCCC" w:sz="1"/>
              <w:bottom w:val="single" w:color="CCCCCC" w:sz="1"/>
              <w:right w:val="single" w:color="CCCCCC" w:sz="1"/>
            </w:tcBorders>
            <w:shd w:fill="F4CCCC" w:val="clear"/>
            <w:tcMar>
              <w:top w:type="dxa" w:w="60"/>
              <w:left w:type="dxa" w:w="120"/>
              <w:bottom w:type="dxa" w:w="60"/>
              <w:right w:type="dxa" w:w="80"/>
            </w:tcMar>
          </w:tcPr>
          <w:p>
            <w:r>
              <w:rPr>
                <w:rFonts w:ascii="Arial" w:cs="Arial" w:eastAsia="Arial" w:hAnsi="Arial"/>
                <w:b/>
                <w:bCs/>
                <w:color w:val="C0392B"/>
                <w:sz w:val="18"/>
                <w:szCs w:val="18"/>
              </w:rPr>
              <w:t xml:space="preserve">CRITICAL</w:t>
            </w:r>
          </w:p>
        </w:tc>
        <w:tc>
          <w:tcPr>
            <w:tcW w:type="dxa" w:w="4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Content-Type Spoofing on File Upload</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File Handling</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color w:val="4A4A4A"/>
                <w:sz w:val="19"/>
                <w:szCs w:val="19"/>
              </w:rPr>
              <w:t xml:space="preserve">H-01</w:t>
            </w:r>
          </w:p>
        </w:tc>
        <w:tc>
          <w:tcPr>
            <w:tcW w:type="dxa" w:w="1440"/>
            <w:tcBorders>
              <w:top w:val="single" w:color="CCCCCC" w:sz="1"/>
              <w:left w:val="single" w:color="CCCCCC" w:sz="1"/>
              <w:bottom w:val="single" w:color="CCCCCC" w:sz="1"/>
              <w:right w:val="single" w:color="CCCCCC" w:sz="1"/>
            </w:tcBorders>
            <w:shd w:fill="FCE5CD" w:val="clear"/>
            <w:tcMar>
              <w:top w:type="dxa" w:w="60"/>
              <w:left w:type="dxa" w:w="120"/>
              <w:bottom w:type="dxa" w:w="60"/>
              <w:right w:type="dxa" w:w="80"/>
            </w:tcMar>
          </w:tcPr>
          <w:p>
            <w:r>
              <w:rPr>
                <w:rFonts w:ascii="Arial" w:cs="Arial" w:eastAsia="Arial" w:hAnsi="Arial"/>
                <w:b/>
                <w:bCs/>
                <w:color w:val="A04000"/>
                <w:sz w:val="18"/>
                <w:szCs w:val="18"/>
              </w:rPr>
              <w:t xml:space="preserve">HIGH</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Sensitive PII Stored and Returned in Plaintext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Data Security</w:t>
            </w:r>
          </w:p>
        </w:tc>
      </w:tr>
      <w:tr>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Courier New" w:cs="Courier New" w:eastAsia="Courier New" w:hAnsi="Courier New"/>
                <w:color w:val="4A4A4A"/>
                <w:sz w:val="19"/>
                <w:szCs w:val="19"/>
              </w:rPr>
              <w:t xml:space="preserve">H-02</w:t>
            </w:r>
          </w:p>
        </w:tc>
        <w:tc>
          <w:tcPr>
            <w:tcW w:type="dxa" w:w="1440"/>
            <w:tcBorders>
              <w:top w:val="single" w:color="CCCCCC" w:sz="1"/>
              <w:left w:val="single" w:color="CCCCCC" w:sz="1"/>
              <w:bottom w:val="single" w:color="CCCCCC" w:sz="1"/>
              <w:right w:val="single" w:color="CCCCCC" w:sz="1"/>
            </w:tcBorders>
            <w:shd w:fill="FCE5CD" w:val="clear"/>
            <w:tcMar>
              <w:top w:type="dxa" w:w="60"/>
              <w:left w:type="dxa" w:w="120"/>
              <w:bottom w:type="dxa" w:w="60"/>
              <w:right w:type="dxa" w:w="80"/>
            </w:tcMar>
          </w:tcPr>
          <w:p>
            <w:r>
              <w:rPr>
                <w:rFonts w:ascii="Arial" w:cs="Arial" w:eastAsia="Arial" w:hAnsi="Arial"/>
                <w:b/>
                <w:bCs/>
                <w:color w:val="A04000"/>
                <w:sz w:val="18"/>
                <w:szCs w:val="18"/>
              </w:rPr>
              <w:t xml:space="preserve">HIGH</w:t>
            </w:r>
          </w:p>
        </w:tc>
        <w:tc>
          <w:tcPr>
            <w:tcW w:type="dxa" w:w="4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Hardcoded Default Database Password</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Configuration</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color w:val="4A4A4A"/>
                <w:sz w:val="19"/>
                <w:szCs w:val="19"/>
              </w:rPr>
              <w:t xml:space="preserve">H-03</w:t>
            </w:r>
          </w:p>
        </w:tc>
        <w:tc>
          <w:tcPr>
            <w:tcW w:type="dxa" w:w="1440"/>
            <w:tcBorders>
              <w:top w:val="single" w:color="CCCCCC" w:sz="1"/>
              <w:left w:val="single" w:color="CCCCCC" w:sz="1"/>
              <w:bottom w:val="single" w:color="CCCCCC" w:sz="1"/>
              <w:right w:val="single" w:color="CCCCCC" w:sz="1"/>
            </w:tcBorders>
            <w:shd w:fill="FCE5CD" w:val="clear"/>
            <w:tcMar>
              <w:top w:type="dxa" w:w="60"/>
              <w:left w:type="dxa" w:w="120"/>
              <w:bottom w:type="dxa" w:w="60"/>
              <w:right w:type="dxa" w:w="80"/>
            </w:tcMar>
          </w:tcPr>
          <w:p>
            <w:r>
              <w:rPr>
                <w:rFonts w:ascii="Arial" w:cs="Arial" w:eastAsia="Arial" w:hAnsi="Arial"/>
                <w:b/>
                <w:bCs/>
                <w:color w:val="A04000"/>
                <w:sz w:val="18"/>
                <w:szCs w:val="18"/>
              </w:rPr>
              <w:t xml:space="preserve">HIGH</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Internal Error Details Leaked to Clients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Error Handling</w:t>
            </w:r>
          </w:p>
        </w:tc>
      </w:tr>
      <w:tr>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Courier New" w:cs="Courier New" w:eastAsia="Courier New" w:hAnsi="Courier New"/>
                <w:color w:val="4A4A4A"/>
                <w:sz w:val="19"/>
                <w:szCs w:val="19"/>
              </w:rPr>
              <w:t xml:space="preserve">H-04</w:t>
            </w:r>
          </w:p>
        </w:tc>
        <w:tc>
          <w:tcPr>
            <w:tcW w:type="dxa" w:w="1440"/>
            <w:tcBorders>
              <w:top w:val="single" w:color="CCCCCC" w:sz="1"/>
              <w:left w:val="single" w:color="CCCCCC" w:sz="1"/>
              <w:bottom w:val="single" w:color="CCCCCC" w:sz="1"/>
              <w:right w:val="single" w:color="CCCCCC" w:sz="1"/>
            </w:tcBorders>
            <w:shd w:fill="FCE5CD" w:val="clear"/>
            <w:tcMar>
              <w:top w:type="dxa" w:w="60"/>
              <w:left w:type="dxa" w:w="120"/>
              <w:bottom w:type="dxa" w:w="60"/>
              <w:right w:type="dxa" w:w="80"/>
            </w:tcMar>
          </w:tcPr>
          <w:p>
            <w:r>
              <w:rPr>
                <w:rFonts w:ascii="Arial" w:cs="Arial" w:eastAsia="Arial" w:hAnsi="Arial"/>
                <w:b/>
                <w:bCs/>
                <w:color w:val="A04000"/>
                <w:sz w:val="18"/>
                <w:szCs w:val="18"/>
              </w:rPr>
              <w:t xml:space="preserve">HIGH</w:t>
            </w:r>
          </w:p>
        </w:tc>
        <w:tc>
          <w:tcPr>
            <w:tcW w:type="dxa" w:w="4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Predictable Reference Numbers Enable Enumeration</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Access Control</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color w:val="4A4A4A"/>
                <w:sz w:val="19"/>
                <w:szCs w:val="19"/>
              </w:rPr>
              <w:t xml:space="preserve">H-05</w:t>
            </w:r>
          </w:p>
        </w:tc>
        <w:tc>
          <w:tcPr>
            <w:tcW w:type="dxa" w:w="1440"/>
            <w:tcBorders>
              <w:top w:val="single" w:color="CCCCCC" w:sz="1"/>
              <w:left w:val="single" w:color="CCCCCC" w:sz="1"/>
              <w:bottom w:val="single" w:color="CCCCCC" w:sz="1"/>
              <w:right w:val="single" w:color="CCCCCC" w:sz="1"/>
            </w:tcBorders>
            <w:shd w:fill="FCE5CD" w:val="clear"/>
            <w:tcMar>
              <w:top w:type="dxa" w:w="60"/>
              <w:left w:type="dxa" w:w="120"/>
              <w:bottom w:type="dxa" w:w="60"/>
              <w:right w:type="dxa" w:w="80"/>
            </w:tcMar>
          </w:tcPr>
          <w:p>
            <w:r>
              <w:rPr>
                <w:rFonts w:ascii="Arial" w:cs="Arial" w:eastAsia="Arial" w:hAnsi="Arial"/>
                <w:b/>
                <w:bCs/>
                <w:color w:val="A04000"/>
                <w:sz w:val="18"/>
                <w:szCs w:val="18"/>
              </w:rPr>
              <w:t xml:space="preserve">HIGH</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Overly Permissive CORS with AllowCredentials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Network</w:t>
            </w:r>
          </w:p>
        </w:tc>
      </w:tr>
      <w:tr>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Courier New" w:cs="Courier New" w:eastAsia="Courier New" w:hAnsi="Courier New"/>
                <w:color w:val="4A4A4A"/>
                <w:sz w:val="19"/>
                <w:szCs w:val="19"/>
              </w:rPr>
              <w:t xml:space="preserve">H-06</w:t>
            </w:r>
          </w:p>
        </w:tc>
        <w:tc>
          <w:tcPr>
            <w:tcW w:type="dxa" w:w="1440"/>
            <w:tcBorders>
              <w:top w:val="single" w:color="CCCCCC" w:sz="1"/>
              <w:left w:val="single" w:color="CCCCCC" w:sz="1"/>
              <w:bottom w:val="single" w:color="CCCCCC" w:sz="1"/>
              <w:right w:val="single" w:color="CCCCCC" w:sz="1"/>
            </w:tcBorders>
            <w:shd w:fill="FCE5CD" w:val="clear"/>
            <w:tcMar>
              <w:top w:type="dxa" w:w="60"/>
              <w:left w:type="dxa" w:w="120"/>
              <w:bottom w:type="dxa" w:w="60"/>
              <w:right w:type="dxa" w:w="80"/>
            </w:tcMar>
          </w:tcPr>
          <w:p>
            <w:r>
              <w:rPr>
                <w:rFonts w:ascii="Arial" w:cs="Arial" w:eastAsia="Arial" w:hAnsi="Arial"/>
                <w:b/>
                <w:bCs/>
                <w:color w:val="A04000"/>
                <w:sz w:val="18"/>
                <w:szCs w:val="18"/>
              </w:rPr>
              <w:t xml:space="preserve">HIGH</w:t>
            </w:r>
          </w:p>
        </w:tc>
        <w:tc>
          <w:tcPr>
            <w:tcW w:type="dxa" w:w="4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No Rate Limiting on Any Endpoint</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Network</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color w:val="4A4A4A"/>
                <w:sz w:val="19"/>
                <w:szCs w:val="19"/>
              </w:rPr>
              <w:t xml:space="preserve">H-07</w:t>
            </w:r>
          </w:p>
        </w:tc>
        <w:tc>
          <w:tcPr>
            <w:tcW w:type="dxa" w:w="1440"/>
            <w:tcBorders>
              <w:top w:val="single" w:color="CCCCCC" w:sz="1"/>
              <w:left w:val="single" w:color="CCCCCC" w:sz="1"/>
              <w:bottom w:val="single" w:color="CCCCCC" w:sz="1"/>
              <w:right w:val="single" w:color="CCCCCC" w:sz="1"/>
            </w:tcBorders>
            <w:shd w:fill="FCE5CD" w:val="clear"/>
            <w:tcMar>
              <w:top w:type="dxa" w:w="60"/>
              <w:left w:type="dxa" w:w="120"/>
              <w:bottom w:type="dxa" w:w="60"/>
              <w:right w:type="dxa" w:w="80"/>
            </w:tcMar>
          </w:tcPr>
          <w:p>
            <w:r>
              <w:rPr>
                <w:rFonts w:ascii="Arial" w:cs="Arial" w:eastAsia="Arial" w:hAnsi="Arial"/>
                <w:b/>
                <w:bCs/>
                <w:color w:val="A04000"/>
                <w:sz w:val="18"/>
                <w:szCs w:val="18"/>
              </w:rPr>
              <w:t xml:space="preserve">HIGH</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SA Database Account Used for App Connections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Database</w:t>
            </w:r>
          </w:p>
        </w:tc>
      </w:tr>
      <w:tr>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Courier New" w:cs="Courier New" w:eastAsia="Courier New" w:hAnsi="Courier New"/>
                <w:color w:val="4A4A4A"/>
                <w:sz w:val="19"/>
                <w:szCs w:val="19"/>
              </w:rPr>
              <w:t xml:space="preserve">M-01</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80"/>
            </w:tcMar>
          </w:tcPr>
          <w:p>
            <w:r>
              <w:rPr>
                <w:rFonts w:ascii="Arial" w:cs="Arial" w:eastAsia="Arial" w:hAnsi="Arial"/>
                <w:b/>
                <w:bCs/>
                <w:color w:val="7A5800"/>
                <w:sz w:val="18"/>
                <w:szCs w:val="18"/>
              </w:rPr>
              <w:t xml:space="preserve">MEDIUM</w:t>
            </w:r>
          </w:p>
        </w:tc>
        <w:tc>
          <w:tcPr>
            <w:tcW w:type="dxa" w:w="4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Production Source Maps Expose Source Code</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Frontend</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color w:val="4A4A4A"/>
                <w:sz w:val="19"/>
                <w:szCs w:val="19"/>
              </w:rPr>
              <w:t xml:space="preserve">M-02</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80"/>
            </w:tcMar>
          </w:tcPr>
          <w:p>
            <w:r>
              <w:rPr>
                <w:rFonts w:ascii="Arial" w:cs="Arial" w:eastAsia="Arial" w:hAnsi="Arial"/>
                <w:b/>
                <w:bCs/>
                <w:color w:val="7A5800"/>
                <w:sz w:val="18"/>
                <w:szCs w:val="18"/>
              </w:rPr>
              <w:t xml:space="preserve">MEDIUM</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No HTTP Security Headers in nginx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Network</w:t>
            </w:r>
          </w:p>
        </w:tc>
      </w:tr>
      <w:tr>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Courier New" w:cs="Courier New" w:eastAsia="Courier New" w:hAnsi="Courier New"/>
                <w:color w:val="4A4A4A"/>
                <w:sz w:val="19"/>
                <w:szCs w:val="19"/>
              </w:rPr>
              <w:t xml:space="preserve">M-03</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80"/>
            </w:tcMar>
          </w:tcPr>
          <w:p>
            <w:r>
              <w:rPr>
                <w:rFonts w:ascii="Arial" w:cs="Arial" w:eastAsia="Arial" w:hAnsi="Arial"/>
                <w:b/>
                <w:bCs/>
                <w:color w:val="7A5800"/>
                <w:sz w:val="18"/>
                <w:szCs w:val="18"/>
              </w:rPr>
              <w:t xml:space="preserve">MEDIUM</w:t>
            </w:r>
          </w:p>
        </w:tc>
        <w:tc>
          <w:tcPr>
            <w:tcW w:type="dxa" w:w="4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Race Condition in Reference Number Generation</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Data Integrity</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color w:val="4A4A4A"/>
                <w:sz w:val="19"/>
                <w:szCs w:val="19"/>
              </w:rPr>
              <w:t xml:space="preserve">M-04</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80"/>
            </w:tcMar>
          </w:tcPr>
          <w:p>
            <w:r>
              <w:rPr>
                <w:rFonts w:ascii="Arial" w:cs="Arial" w:eastAsia="Arial" w:hAnsi="Arial"/>
                <w:b/>
                <w:bCs/>
                <w:color w:val="7A5800"/>
                <w:sz w:val="18"/>
                <w:szCs w:val="18"/>
              </w:rPr>
              <w:t xml:space="preserve">MEDIUM</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No CSRF Protection on Multipart Endpoints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Authorization</w:t>
            </w:r>
          </w:p>
        </w:tc>
      </w:tr>
      <w:tr>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Courier New" w:cs="Courier New" w:eastAsia="Courier New" w:hAnsi="Courier New"/>
                <w:color w:val="4A4A4A"/>
                <w:sz w:val="19"/>
                <w:szCs w:val="19"/>
              </w:rPr>
              <w:t xml:space="preserve">M-05</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80"/>
            </w:tcMar>
          </w:tcPr>
          <w:p>
            <w:r>
              <w:rPr>
                <w:rFonts w:ascii="Arial" w:cs="Arial" w:eastAsia="Arial" w:hAnsi="Arial"/>
                <w:b/>
                <w:bCs/>
                <w:color w:val="7A5800"/>
                <w:sz w:val="18"/>
                <w:szCs w:val="18"/>
              </w:rPr>
              <w:t xml:space="preserve">MEDIUM</w:t>
            </w:r>
          </w:p>
        </w:tc>
        <w:tc>
          <w:tcPr>
            <w:tcW w:type="dxa" w:w="4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No Audit Logging for Legal/PII Data Access</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Compliance</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color w:val="4A4A4A"/>
                <w:sz w:val="19"/>
                <w:szCs w:val="19"/>
              </w:rPr>
              <w:t xml:space="preserve">M-06</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80"/>
            </w:tcMar>
          </w:tcPr>
          <w:p>
            <w:r>
              <w:rPr>
                <w:rFonts w:ascii="Arial" w:cs="Arial" w:eastAsia="Arial" w:hAnsi="Arial"/>
                <w:b/>
                <w:bCs/>
                <w:color w:val="7A5800"/>
                <w:sz w:val="18"/>
                <w:szCs w:val="18"/>
              </w:rPr>
              <w:t xml:space="preserve">MEDIUM</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TrustServerCertificate=True in DB Connection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Database</w:t>
            </w:r>
          </w:p>
        </w:tc>
      </w:tr>
      <w:tr>
        <w:tc>
          <w:tcPr>
            <w:tcW w:type="dxa" w:w="108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Courier New" w:cs="Courier New" w:eastAsia="Courier New" w:hAnsi="Courier New"/>
                <w:color w:val="4A4A4A"/>
                <w:sz w:val="19"/>
                <w:szCs w:val="19"/>
              </w:rPr>
              <w:t xml:space="preserve">M-07</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80"/>
            </w:tcMar>
          </w:tcPr>
          <w:p>
            <w:r>
              <w:rPr>
                <w:rFonts w:ascii="Arial" w:cs="Arial" w:eastAsia="Arial" w:hAnsi="Arial"/>
                <w:b/>
                <w:bCs/>
                <w:color w:val="7A5800"/>
                <w:sz w:val="18"/>
                <w:szCs w:val="18"/>
              </w:rPr>
              <w:t xml:space="preserve">MEDIUM</w:t>
            </w:r>
          </w:p>
        </w:tc>
        <w:tc>
          <w:tcPr>
            <w:tcW w:type="dxa" w:w="43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No Server-Side Input Length Validation</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Validation</w:t>
            </w:r>
          </w:p>
        </w:tc>
      </w:tr>
      <w:tr>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Courier New" w:cs="Courier New" w:eastAsia="Courier New" w:hAnsi="Courier New"/>
                <w:color w:val="4A4A4A"/>
                <w:sz w:val="19"/>
                <w:szCs w:val="19"/>
              </w:rPr>
              <w:t xml:space="preserve">M-08</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80"/>
            </w:tcMar>
          </w:tcPr>
          <w:p>
            <w:r>
              <w:rPr>
                <w:rFonts w:ascii="Arial" w:cs="Arial" w:eastAsia="Arial" w:hAnsi="Arial"/>
                <w:b/>
                <w:bCs/>
                <w:color w:val="7A5800"/>
                <w:sz w:val="18"/>
                <w:szCs w:val="18"/>
              </w:rPr>
              <w:t xml:space="preserve">MEDIUM</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Swagger UI Exposure Risk in Production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Configuration</w:t>
            </w:r>
          </w:p>
        </w:tc>
      </w:tr>
    </w:tbl>
    <w:p>
      <w:r>
        <w:br w:type="page"/>
      </w:r>
    </w:p>
    <w:p>
      <w:pPr>
        <w:pStyle w:val="Heading1"/>
        <w:spacing w:after="100" w:before="320"/>
      </w:pPr>
      <w:r>
        <w:rPr>
          <w:rFonts w:ascii="Arial" w:cs="Arial" w:eastAsia="Arial" w:hAnsi="Arial"/>
          <w:b/>
          <w:bCs/>
          <w:color w:val="1E3A5F"/>
          <w:sz w:val="32"/>
          <w:szCs w:val="32"/>
        </w:rPr>
        <w:t xml:space="preserve">4. Detailed Findings</w:t>
      </w:r>
    </w:p>
    <w:p>
      <w:pPr>
        <w:pStyle w:val="Heading2"/>
        <w:spacing w:after="80" w:before="240"/>
      </w:pPr>
      <w:r>
        <w:rPr>
          <w:rFonts w:ascii="Arial" w:cs="Arial" w:eastAsia="Arial" w:hAnsi="Arial"/>
          <w:b/>
          <w:bCs/>
          <w:color w:val="1E3A5F"/>
          <w:sz w:val="26"/>
          <w:szCs w:val="26"/>
        </w:rPr>
        <w:t xml:space="preserve">4.1  Critical Severity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4CCCC" w:val="clear"/>
            <w:tcMar>
              <w:top w:type="dxa" w:w="120"/>
              <w:left w:type="dxa" w:w="120"/>
              <w:bottom w:type="dxa" w:w="120"/>
              <w:right w:type="dxa" w:w="120"/>
            </w:tcMar>
            <w:vAlign w:val="center"/>
          </w:tcPr>
          <w:p>
            <w:pPr>
              <w:jc w:val="center"/>
            </w:pPr>
            <w:r>
              <w:rPr>
                <w:rFonts w:ascii="Arial" w:cs="Arial" w:eastAsia="Arial" w:hAnsi="Arial"/>
                <w:b/>
                <w:bCs/>
                <w:color w:val="C0392B"/>
                <w:sz w:val="20"/>
                <w:szCs w:val="20"/>
              </w:rPr>
              <w:t xml:space="preserve">CRITICAL</w:t>
            </w:r>
          </w:p>
        </w:tc>
        <w:tc>
          <w:tcPr>
            <w:tcW w:type="dxa" w:w="7920"/>
            <w:tcBorders>
              <w:top w:val="single" w:color="CCCCCC" w:sz="1"/>
              <w:left w:val="single" w:color="CCCCCC" w:sz="1"/>
              <w:bottom w:val="single" w:color="CCCCCC" w:sz="1"/>
              <w:right w:val="single" w:color="CCCCCC" w:sz="1"/>
            </w:tcBorders>
            <w:shd w:fill="F4CCCC" w:val="clear"/>
            <w:tcMar>
              <w:top w:type="dxa" w:w="120"/>
              <w:left w:type="dxa" w:w="180"/>
              <w:bottom w:type="dxa" w:w="120"/>
              <w:right w:type="dxa" w:w="120"/>
            </w:tcMar>
          </w:tcPr>
          <w:p>
            <w:r>
              <w:rPr>
                <w:rFonts w:ascii="Arial" w:cs="Arial" w:eastAsia="Arial" w:hAnsi="Arial"/>
                <w:b/>
                <w:bCs/>
                <w:color w:val="C0392B"/>
                <w:sz w:val="22"/>
                <w:szCs w:val="22"/>
              </w:rPr>
              <w:t xml:space="preserve">C-01  </w:t>
            </w:r>
            <w:r>
              <w:rPr>
                <w:rFonts w:ascii="Arial" w:cs="Arial" w:eastAsia="Arial" w:hAnsi="Arial"/>
                <w:b/>
                <w:bCs/>
                <w:color w:val="C0392B"/>
                <w:sz w:val="22"/>
                <w:szCs w:val="22"/>
              </w:rPr>
              <w:t xml:space="preserve">No Authentication on Any API Endpoint</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IntakeCasesController.cs, DocumentsController.cs, FeesController.cs — all endpoints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Every API endpoint is publicly accessible without any authentication or authorization check. GET /api/intakecases returns a list of all intake cases. Any case can be read, modified, or have its status changed by anyone with network access. The only acknowledgment of this gap is a code comment: "// future: add [Authorize(Roles=\"Staff\")]"</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Complete unauthorized access to all client intake data. An attacker can read all PII, enumerate all cases, change statuses, and upload documents to any case. This is also a potential attorney-client privilege breach.</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Implement ASP.NET Core authentication (Azure AD/Entra ID or JWT bearer). Apply [Authorize] at the controller level by default. Explicitly mark only truly public endpoints with [AllowAnonymous]. Restrict the staff-facing GET /api/intakecases to an authenticated staff role.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4CCCC" w:val="clear"/>
            <w:tcMar>
              <w:top w:type="dxa" w:w="120"/>
              <w:left w:type="dxa" w:w="120"/>
              <w:bottom w:type="dxa" w:w="120"/>
              <w:right w:type="dxa" w:w="120"/>
            </w:tcMar>
            <w:vAlign w:val="center"/>
          </w:tcPr>
          <w:p>
            <w:pPr>
              <w:jc w:val="center"/>
            </w:pPr>
            <w:r>
              <w:rPr>
                <w:rFonts w:ascii="Arial" w:cs="Arial" w:eastAsia="Arial" w:hAnsi="Arial"/>
                <w:b/>
                <w:bCs/>
                <w:color w:val="C0392B"/>
                <w:sz w:val="20"/>
                <w:szCs w:val="20"/>
              </w:rPr>
              <w:t xml:space="preserve">CRITICAL</w:t>
            </w:r>
          </w:p>
        </w:tc>
        <w:tc>
          <w:tcPr>
            <w:tcW w:type="dxa" w:w="7920"/>
            <w:tcBorders>
              <w:top w:val="single" w:color="CCCCCC" w:sz="1"/>
              <w:left w:val="single" w:color="CCCCCC" w:sz="1"/>
              <w:bottom w:val="single" w:color="CCCCCC" w:sz="1"/>
              <w:right w:val="single" w:color="CCCCCC" w:sz="1"/>
            </w:tcBorders>
            <w:shd w:fill="F4CCCC" w:val="clear"/>
            <w:tcMar>
              <w:top w:type="dxa" w:w="120"/>
              <w:left w:type="dxa" w:w="180"/>
              <w:bottom w:type="dxa" w:w="120"/>
              <w:right w:type="dxa" w:w="120"/>
            </w:tcMar>
          </w:tcPr>
          <w:p>
            <w:r>
              <w:rPr>
                <w:rFonts w:ascii="Arial" w:cs="Arial" w:eastAsia="Arial" w:hAnsi="Arial"/>
                <w:b/>
                <w:bCs/>
                <w:color w:val="C0392B"/>
                <w:sz w:val="22"/>
                <w:szCs w:val="22"/>
              </w:rPr>
              <w:t xml:space="preserve">C-02  </w:t>
            </w:r>
            <w:r>
              <w:rPr>
                <w:rFonts w:ascii="Arial" w:cs="Arial" w:eastAsia="Arial" w:hAnsi="Arial"/>
                <w:b/>
                <w:bCs/>
                <w:color w:val="C0392B"/>
                <w:sz w:val="22"/>
                <w:szCs w:val="22"/>
              </w:rPr>
              <w:t xml:space="preserve">Path Traversal in File Download Endpoint</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DocumentsController.cs — GetDownloadUrl() — GET /api/documents/download/{*storageKey}</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storageKey wildcard route parameter is decoded and passed directly to Path.Combine() without sanitization. An attacker can supply a crafted storageKey such as ../../appsettings.json to read arbitrary server files.</w:t>
            </w:r>
          </w:p>
        </w:tc>
      </w:tr>
      <w:tr>
        <w:tc>
          <w:tcPr>
            <w:tcW w:type="dxa" w:w="144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rFonts w:ascii="Arial" w:cs="Arial" w:eastAsia="Arial" w:hAnsi="Arial"/>
                <w:b/>
                <w:bCs/>
                <w:color w:val="4A4A4A"/>
                <w:sz w:val="20"/>
                <w:szCs w:val="20"/>
              </w:rPr>
              <w:t xml:space="preserve">Code</w:t>
            </w:r>
          </w:p>
        </w:tc>
        <w:tc>
          <w:tcPr>
            <w:tcW w:type="dxa" w:w="7920"/>
            <w:tcBorders>
              <w:top w:val="single" w:color="CCCCCC" w:sz="1"/>
              <w:left w:val="single" w:color="CCCCCC" w:sz="1"/>
              <w:bottom w:val="single" w:color="CCCCCC" w:sz="1"/>
              <w:right w:val="single" w:color="CCCCCC" w:sz="1"/>
            </w:tcBorders>
            <w:shd w:fill="EFEFEF" w:val="clear"/>
            <w:tcMar>
              <w:top w:type="dxa" w:w="80"/>
              <w:left w:type="dxa" w:w="180"/>
              <w:bottom w:type="dxa" w:w="80"/>
              <w:right w:type="dxa" w:w="120"/>
            </w:tcMar>
          </w:tcPr>
          <w:p>
            <w:r>
              <w:rPr>
                <w:rFonts w:ascii="Courier New" w:cs="Courier New" w:eastAsia="Courier New" w:hAnsi="Courier New"/>
                <w:color w:val="4A4A4A"/>
                <w:sz w:val="18"/>
                <w:szCs w:val="18"/>
              </w:rPr>
              <w:t xml:space="preserve">// VULNERABLE:
var fullPath = Path.Combine(Directory.GetCurrentDirectory(), "uploads", Uri.UnescapeDataString(storageKey));
// SAFE:
var resolved = Path.GetFullPath(Path.Combine(_uploadsRoot, storageKey));
if (!resolved.StartsWith(_uploadsRoot, StringComparison.OrdinalIgnoreCase)) return Forbid();</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Unauthenticated attacker can read any file accessible to the ASP.NET process: appsettings.json (connection strings, Azure secrets), server certificates, or any uploaded document from any case.</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Validate the resolved path stays within the uploads directory using Path.GetFullPath() with a prefix check. Look up documents by their database StorageKey column rather than accepting raw paths from callers.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4CCCC" w:val="clear"/>
            <w:tcMar>
              <w:top w:type="dxa" w:w="120"/>
              <w:left w:type="dxa" w:w="120"/>
              <w:bottom w:type="dxa" w:w="120"/>
              <w:right w:type="dxa" w:w="120"/>
            </w:tcMar>
            <w:vAlign w:val="center"/>
          </w:tcPr>
          <w:p>
            <w:pPr>
              <w:jc w:val="center"/>
            </w:pPr>
            <w:r>
              <w:rPr>
                <w:rFonts w:ascii="Arial" w:cs="Arial" w:eastAsia="Arial" w:hAnsi="Arial"/>
                <w:b/>
                <w:bCs/>
                <w:color w:val="C0392B"/>
                <w:sz w:val="20"/>
                <w:szCs w:val="20"/>
              </w:rPr>
              <w:t xml:space="preserve">CRITICAL</w:t>
            </w:r>
          </w:p>
        </w:tc>
        <w:tc>
          <w:tcPr>
            <w:tcW w:type="dxa" w:w="7920"/>
            <w:tcBorders>
              <w:top w:val="single" w:color="CCCCCC" w:sz="1"/>
              <w:left w:val="single" w:color="CCCCCC" w:sz="1"/>
              <w:bottom w:val="single" w:color="CCCCCC" w:sz="1"/>
              <w:right w:val="single" w:color="CCCCCC" w:sz="1"/>
            </w:tcBorders>
            <w:shd w:fill="F4CCCC" w:val="clear"/>
            <w:tcMar>
              <w:top w:type="dxa" w:w="120"/>
              <w:left w:type="dxa" w:w="180"/>
              <w:bottom w:type="dxa" w:w="120"/>
              <w:right w:type="dxa" w:w="120"/>
            </w:tcMar>
          </w:tcPr>
          <w:p>
            <w:r>
              <w:rPr>
                <w:rFonts w:ascii="Arial" w:cs="Arial" w:eastAsia="Arial" w:hAnsi="Arial"/>
                <w:b/>
                <w:bCs/>
                <w:color w:val="C0392B"/>
                <w:sz w:val="22"/>
                <w:szCs w:val="22"/>
              </w:rPr>
              <w:t xml:space="preserve">C-03  </w:t>
            </w:r>
            <w:r>
              <w:rPr>
                <w:rFonts w:ascii="Arial" w:cs="Arial" w:eastAsia="Arial" w:hAnsi="Arial"/>
                <w:b/>
                <w:bCs/>
                <w:color w:val="C0392B"/>
                <w:sz w:val="22"/>
                <w:szCs w:val="22"/>
              </w:rPr>
              <w:t xml:space="preserve">Path Traversal in Local Submit Endpoint</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IntakeCasesController.cs — LocalSubmit() — POST /api/intakecases/local-submit</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referenceNumber value is extracted from client-supplied JSON and used directly to build a filesystem path: Path.Combine(basePath, referenceNumber). A malicious client can supply a referenceNumber containing directory traversal sequences to write files outside the intended directory.</w:t>
            </w:r>
          </w:p>
        </w:tc>
      </w:tr>
      <w:tr>
        <w:tc>
          <w:tcPr>
            <w:tcW w:type="dxa" w:w="144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rFonts w:ascii="Arial" w:cs="Arial" w:eastAsia="Arial" w:hAnsi="Arial"/>
                <w:b/>
                <w:bCs/>
                <w:color w:val="4A4A4A"/>
                <w:sz w:val="20"/>
                <w:szCs w:val="20"/>
              </w:rPr>
              <w:t xml:space="preserve">Code</w:t>
            </w:r>
          </w:p>
        </w:tc>
        <w:tc>
          <w:tcPr>
            <w:tcW w:type="dxa" w:w="7920"/>
            <w:tcBorders>
              <w:top w:val="single" w:color="CCCCCC" w:sz="1"/>
              <w:left w:val="single" w:color="CCCCCC" w:sz="1"/>
              <w:bottom w:val="single" w:color="CCCCCC" w:sz="1"/>
              <w:right w:val="single" w:color="CCCCCC" w:sz="1"/>
            </w:tcBorders>
            <w:shd w:fill="EFEFEF" w:val="clear"/>
            <w:tcMar>
              <w:top w:type="dxa" w:w="80"/>
              <w:left w:type="dxa" w:w="180"/>
              <w:bottom w:type="dxa" w:w="80"/>
              <w:right w:type="dxa" w:w="120"/>
            </w:tcMar>
          </w:tcPr>
          <w:p>
            <w:r>
              <w:rPr>
                <w:rFonts w:ascii="Courier New" w:cs="Courier New" w:eastAsia="Courier New" w:hAnsi="Courier New"/>
                <w:color w:val="4A4A4A"/>
                <w:sz w:val="18"/>
                <w:szCs w:val="18"/>
              </w:rPr>
              <w:t xml:space="preserve">// VULNERABLE:
var submissionPath = Path.Combine(basePath, referenceNumber);
// SAFE:
if (!Regex.IsMatch(referenceNumber, @"^H\d{4}-\d{4}(-LOCAL)?$")) return BadRequest();
var resolved = Path.GetFullPath(Path.Combine(basePath, referenceNumber));
if (!resolved.StartsWith(basePath)) return BadRequest();</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Attacker can write arbitrary files to any location writable by the process, potentially overwriting application binaries, config files, or placing a web shell if a web-accessible directory is reachable.</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Generate reference numbers server-side or validate against a strict allowlist regex (e.g., ^H\d{4}-\d{4}$) before using in path construction. Apply the same Path.GetFullPath() prefix check as C-02.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4CCCC" w:val="clear"/>
            <w:tcMar>
              <w:top w:type="dxa" w:w="120"/>
              <w:left w:type="dxa" w:w="120"/>
              <w:bottom w:type="dxa" w:w="120"/>
              <w:right w:type="dxa" w:w="120"/>
            </w:tcMar>
            <w:vAlign w:val="center"/>
          </w:tcPr>
          <w:p>
            <w:pPr>
              <w:jc w:val="center"/>
            </w:pPr>
            <w:r>
              <w:rPr>
                <w:rFonts w:ascii="Arial" w:cs="Arial" w:eastAsia="Arial" w:hAnsi="Arial"/>
                <w:b/>
                <w:bCs/>
                <w:color w:val="C0392B"/>
                <w:sz w:val="20"/>
                <w:szCs w:val="20"/>
              </w:rPr>
              <w:t xml:space="preserve">CRITICAL</w:t>
            </w:r>
          </w:p>
        </w:tc>
        <w:tc>
          <w:tcPr>
            <w:tcW w:type="dxa" w:w="7920"/>
            <w:tcBorders>
              <w:top w:val="single" w:color="CCCCCC" w:sz="1"/>
              <w:left w:val="single" w:color="CCCCCC" w:sz="1"/>
              <w:bottom w:val="single" w:color="CCCCCC" w:sz="1"/>
              <w:right w:val="single" w:color="CCCCCC" w:sz="1"/>
            </w:tcBorders>
            <w:shd w:fill="F4CCCC" w:val="clear"/>
            <w:tcMar>
              <w:top w:type="dxa" w:w="120"/>
              <w:left w:type="dxa" w:w="180"/>
              <w:bottom w:type="dxa" w:w="120"/>
              <w:right w:type="dxa" w:w="120"/>
            </w:tcMar>
          </w:tcPr>
          <w:p>
            <w:r>
              <w:rPr>
                <w:rFonts w:ascii="Arial" w:cs="Arial" w:eastAsia="Arial" w:hAnsi="Arial"/>
                <w:b/>
                <w:bCs/>
                <w:color w:val="C0392B"/>
                <w:sz w:val="22"/>
                <w:szCs w:val="22"/>
              </w:rPr>
              <w:t xml:space="preserve">C-04  </w:t>
            </w:r>
            <w:r>
              <w:rPr>
                <w:rFonts w:ascii="Arial" w:cs="Arial" w:eastAsia="Arial" w:hAnsi="Arial"/>
                <w:b/>
                <w:bCs/>
                <w:color w:val="C0392B"/>
                <w:sz w:val="22"/>
                <w:szCs w:val="22"/>
              </w:rPr>
              <w:t xml:space="preserve">Content-Type Spoofing on File Upload</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DocumentsController.cs — Upload() — POST /api/documents/upload/{caseId}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upload endpoint validates file.ContentType, which is the MIME type declared by the HTTP client — an entirely attacker-controlled value. A malicious user can upload an executable or web shell by simply setting the Content-Type header to application/pdf.</w:t>
            </w:r>
          </w:p>
        </w:tc>
      </w:tr>
      <w:tr>
        <w:tc>
          <w:tcPr>
            <w:tcW w:type="dxa" w:w="144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rFonts w:ascii="Arial" w:cs="Arial" w:eastAsia="Arial" w:hAnsi="Arial"/>
                <w:b/>
                <w:bCs/>
                <w:color w:val="4A4A4A"/>
                <w:sz w:val="20"/>
                <w:szCs w:val="20"/>
              </w:rPr>
              <w:t xml:space="preserve">Code</w:t>
            </w:r>
          </w:p>
        </w:tc>
        <w:tc>
          <w:tcPr>
            <w:tcW w:type="dxa" w:w="7920"/>
            <w:tcBorders>
              <w:top w:val="single" w:color="CCCCCC" w:sz="1"/>
              <w:left w:val="single" w:color="CCCCCC" w:sz="1"/>
              <w:bottom w:val="single" w:color="CCCCCC" w:sz="1"/>
              <w:right w:val="single" w:color="CCCCCC" w:sz="1"/>
            </w:tcBorders>
            <w:shd w:fill="EFEFEF" w:val="clear"/>
            <w:tcMar>
              <w:top w:type="dxa" w:w="80"/>
              <w:left w:type="dxa" w:w="180"/>
              <w:bottom w:type="dxa" w:w="80"/>
              <w:right w:type="dxa" w:w="120"/>
            </w:tcMar>
          </w:tcPr>
          <w:p>
            <w:r>
              <w:rPr>
                <w:rFonts w:ascii="Courier New" w:cs="Courier New" w:eastAsia="Courier New" w:hAnsi="Courier New"/>
                <w:color w:val="4A4A4A"/>
                <w:sz w:val="18"/>
                <w:szCs w:val="18"/>
              </w:rPr>
              <w:t xml:space="preserve">// Magic byte signatures:
var signatures = new Dictionary&lt;string, byte[]&gt; {
    {"application/pdf",  new byte[]{0x25,0x50,0x44,0x46}},  // %PDF
    {"image/jpeg",       new byte[]{0xFF,0xD8,0xFF}},
    {"image/png",        new byte[]{0x89,0x50,0x4E,0x47}},
};</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Attacker can upload malicious files (.aspx web shell, .exe, .js) to the server. If the upload directory is ever web-accessible, this enables remote code execution.</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Validate file contents using magic byte inspection (read first bytes and compare against known signatures: PDF = %PDF-, JPEG = FF D8 FF, PNG = 89 50 4E 47). Reject files whose magic bytes do not match an allowed type. Also validate file extensions.</w:t>
            </w:r>
          </w:p>
        </w:tc>
      </w:tr>
    </w:tbl>
    <w:p>
      <w:r>
        <w:br w:type="page"/>
      </w:r>
    </w:p>
    <w:p>
      <w:pPr>
        <w:pStyle w:val="Heading2"/>
        <w:spacing w:after="80" w:before="240"/>
      </w:pPr>
      <w:r>
        <w:rPr>
          <w:rFonts w:ascii="Arial" w:cs="Arial" w:eastAsia="Arial" w:hAnsi="Arial"/>
          <w:b/>
          <w:bCs/>
          <w:color w:val="1E3A5F"/>
          <w:sz w:val="26"/>
          <w:szCs w:val="26"/>
        </w:rPr>
        <w:t xml:space="preserve">4.2  High Severity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vAlign w:val="center"/>
          </w:tcPr>
          <w:p>
            <w:pPr>
              <w:jc w:val="center"/>
            </w:pPr>
            <w:r>
              <w:rPr>
                <w:rFonts w:ascii="Arial" w:cs="Arial" w:eastAsia="Arial" w:hAnsi="Arial"/>
                <w:b/>
                <w:bCs/>
                <w:color w:val="A04000"/>
                <w:sz w:val="20"/>
                <w:szCs w:val="20"/>
              </w:rPr>
              <w:t xml:space="preserve">HIGH</w:t>
            </w:r>
          </w:p>
        </w:tc>
        <w:tc>
          <w:tcPr>
            <w:tcW w:type="dxa" w:w="7920"/>
            <w:tcBorders>
              <w:top w:val="single" w:color="CCCCCC" w:sz="1"/>
              <w:left w:val="single" w:color="CCCCCC" w:sz="1"/>
              <w:bottom w:val="single" w:color="CCCCCC" w:sz="1"/>
              <w:right w:val="single" w:color="CCCCCC" w:sz="1"/>
            </w:tcBorders>
            <w:shd w:fill="FCE5CD" w:val="clear"/>
            <w:tcMar>
              <w:top w:type="dxa" w:w="120"/>
              <w:left w:type="dxa" w:w="180"/>
              <w:bottom w:type="dxa" w:w="120"/>
              <w:right w:type="dxa" w:w="120"/>
            </w:tcMar>
          </w:tcPr>
          <w:p>
            <w:r>
              <w:rPr>
                <w:rFonts w:ascii="Arial" w:cs="Arial" w:eastAsia="Arial" w:hAnsi="Arial"/>
                <w:b/>
                <w:bCs/>
                <w:color w:val="A04000"/>
                <w:sz w:val="22"/>
                <w:szCs w:val="22"/>
              </w:rPr>
              <w:t xml:space="preserve">H-01  </w:t>
            </w:r>
            <w:r>
              <w:rPr>
                <w:rFonts w:ascii="Arial" w:cs="Arial" w:eastAsia="Arial" w:hAnsi="Arial"/>
                <w:b/>
                <w:bCs/>
                <w:color w:val="A04000"/>
                <w:sz w:val="22"/>
                <w:szCs w:val="22"/>
              </w:rPr>
              <w:t xml:space="preserve">Sensitive PII Stored and Returned in Plaintext</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Tenant.cs model, IntakeCasesController.cs — GetById(), Property.Tenants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Tenant model stores Race, Height, Weight, HairColor, FacialHair, Eyes, Hairstyle, and CarDescription in plaintext. This data is returned in full in API responses without field-level access control or masking. In the eviction context, racial data exposure creates particular civil rights liability.</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Exposure of racial and physical characteristic data for tenants. Without C-01 fixed, this data is fully public. CCPA and state housing laws create significant legal liability.</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Implement field-level access control so physical description fields are only accessible to authenticated staff. Consider whether racial characteristics are legally necessary to store; if not, remove those fields. Encrypt sensitive columns at rest (SQL Server Always Encrypted). Use DTOs that exclude sensitive fields from client-facing responses.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vAlign w:val="center"/>
          </w:tcPr>
          <w:p>
            <w:pPr>
              <w:jc w:val="center"/>
            </w:pPr>
            <w:r>
              <w:rPr>
                <w:rFonts w:ascii="Arial" w:cs="Arial" w:eastAsia="Arial" w:hAnsi="Arial"/>
                <w:b/>
                <w:bCs/>
                <w:color w:val="A04000"/>
                <w:sz w:val="20"/>
                <w:szCs w:val="20"/>
              </w:rPr>
              <w:t xml:space="preserve">HIGH</w:t>
            </w:r>
          </w:p>
        </w:tc>
        <w:tc>
          <w:tcPr>
            <w:tcW w:type="dxa" w:w="7920"/>
            <w:tcBorders>
              <w:top w:val="single" w:color="CCCCCC" w:sz="1"/>
              <w:left w:val="single" w:color="CCCCCC" w:sz="1"/>
              <w:bottom w:val="single" w:color="CCCCCC" w:sz="1"/>
              <w:right w:val="single" w:color="CCCCCC" w:sz="1"/>
            </w:tcBorders>
            <w:shd w:fill="FCE5CD" w:val="clear"/>
            <w:tcMar>
              <w:top w:type="dxa" w:w="120"/>
              <w:left w:type="dxa" w:w="180"/>
              <w:bottom w:type="dxa" w:w="120"/>
              <w:right w:type="dxa" w:w="120"/>
            </w:tcMar>
          </w:tcPr>
          <w:p>
            <w:r>
              <w:rPr>
                <w:rFonts w:ascii="Arial" w:cs="Arial" w:eastAsia="Arial" w:hAnsi="Arial"/>
                <w:b/>
                <w:bCs/>
                <w:color w:val="A04000"/>
                <w:sz w:val="22"/>
                <w:szCs w:val="22"/>
              </w:rPr>
              <w:t xml:space="preserve">H-02  </w:t>
            </w:r>
            <w:r>
              <w:rPr>
                <w:rFonts w:ascii="Arial" w:cs="Arial" w:eastAsia="Arial" w:hAnsi="Arial"/>
                <w:b/>
                <w:bCs/>
                <w:color w:val="A04000"/>
                <w:sz w:val="22"/>
                <w:szCs w:val="22"/>
              </w:rPr>
              <w:t xml:space="preserve">Hardcoded Default Database Password</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docker-compose.yml — SA_PASSWORD, .env.example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docker-compose.yml defines a fallback SA password of Dev@Password123. If deployed without setting DB_SA_PASSWORD, the SQL Server instance is accessible with this known credential.</w:t>
            </w:r>
          </w:p>
        </w:tc>
      </w:tr>
      <w:tr>
        <w:tc>
          <w:tcPr>
            <w:tcW w:type="dxa" w:w="144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rFonts w:ascii="Arial" w:cs="Arial" w:eastAsia="Arial" w:hAnsi="Arial"/>
                <w:b/>
                <w:bCs/>
                <w:color w:val="4A4A4A"/>
                <w:sz w:val="20"/>
                <w:szCs w:val="20"/>
              </w:rPr>
              <w:t xml:space="preserve">Code</w:t>
            </w:r>
          </w:p>
        </w:tc>
        <w:tc>
          <w:tcPr>
            <w:tcW w:type="dxa" w:w="7920"/>
            <w:tcBorders>
              <w:top w:val="single" w:color="CCCCCC" w:sz="1"/>
              <w:left w:val="single" w:color="CCCCCC" w:sz="1"/>
              <w:bottom w:val="single" w:color="CCCCCC" w:sz="1"/>
              <w:right w:val="single" w:color="CCCCCC" w:sz="1"/>
            </w:tcBorders>
            <w:shd w:fill="EFEFEF" w:val="clear"/>
            <w:tcMar>
              <w:top w:type="dxa" w:w="80"/>
              <w:left w:type="dxa" w:w="180"/>
              <w:bottom w:type="dxa" w:w="80"/>
              <w:right w:type="dxa" w:w="120"/>
            </w:tcMar>
          </w:tcPr>
          <w:p>
            <w:r>
              <w:rPr>
                <w:rFonts w:ascii="Courier New" w:cs="Courier New" w:eastAsia="Courier New" w:hAnsi="Courier New"/>
                <w:color w:val="4A4A4A"/>
                <w:sz w:val="18"/>
                <w:szCs w:val="18"/>
              </w:rPr>
              <w:t xml:space="preserve"># VULNERABLE:
SA_PASSWORD: "${DB_SA_PASSWORD:-Dev@Password123}"
# SAFE (fails if not set):
SA_PASSWORD: "${DB_SA_PASSWORD:?DB_SA_PASSWORD must be set}"</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If port 1433 is reachable, an attacker can authenticate as SA and gain full database access, read all case data, drop tables, or execute OS commands via xp_cmdshell.</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Remove the default fallback value so deployment fails if DB_SA_PASSWORD is not set. Use Docker secrets or Azure Key Vault for credentials. Confirm .env is in .gitignore.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vAlign w:val="center"/>
          </w:tcPr>
          <w:p>
            <w:pPr>
              <w:jc w:val="center"/>
            </w:pPr>
            <w:r>
              <w:rPr>
                <w:rFonts w:ascii="Arial" w:cs="Arial" w:eastAsia="Arial" w:hAnsi="Arial"/>
                <w:b/>
                <w:bCs/>
                <w:color w:val="A04000"/>
                <w:sz w:val="20"/>
                <w:szCs w:val="20"/>
              </w:rPr>
              <w:t xml:space="preserve">HIGH</w:t>
            </w:r>
          </w:p>
        </w:tc>
        <w:tc>
          <w:tcPr>
            <w:tcW w:type="dxa" w:w="7920"/>
            <w:tcBorders>
              <w:top w:val="single" w:color="CCCCCC" w:sz="1"/>
              <w:left w:val="single" w:color="CCCCCC" w:sz="1"/>
              <w:bottom w:val="single" w:color="CCCCCC" w:sz="1"/>
              <w:right w:val="single" w:color="CCCCCC" w:sz="1"/>
            </w:tcBorders>
            <w:shd w:fill="FCE5CD" w:val="clear"/>
            <w:tcMar>
              <w:top w:type="dxa" w:w="120"/>
              <w:left w:type="dxa" w:w="180"/>
              <w:bottom w:type="dxa" w:w="120"/>
              <w:right w:type="dxa" w:w="120"/>
            </w:tcMar>
          </w:tcPr>
          <w:p>
            <w:r>
              <w:rPr>
                <w:rFonts w:ascii="Arial" w:cs="Arial" w:eastAsia="Arial" w:hAnsi="Arial"/>
                <w:b/>
                <w:bCs/>
                <w:color w:val="A04000"/>
                <w:sz w:val="22"/>
                <w:szCs w:val="22"/>
              </w:rPr>
              <w:t xml:space="preserve">H-03  </w:t>
            </w:r>
            <w:r>
              <w:rPr>
                <w:rFonts w:ascii="Arial" w:cs="Arial" w:eastAsia="Arial" w:hAnsi="Arial"/>
                <w:b/>
                <w:bCs/>
                <w:color w:val="A04000"/>
                <w:sz w:val="22"/>
                <w:szCs w:val="22"/>
              </w:rPr>
              <w:t xml:space="preserve">Internal Error Details Leaked to Clients</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IntakeCasesController.cs — Submit(), LocalSubmit() exception handlers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When exceptions are caught, the full exception message and inner exception detail are included in the HTTP 500 response body returned to the client.</w:t>
            </w:r>
          </w:p>
        </w:tc>
      </w:tr>
      <w:tr>
        <w:tc>
          <w:tcPr>
            <w:tcW w:type="dxa" w:w="144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rFonts w:ascii="Arial" w:cs="Arial" w:eastAsia="Arial" w:hAnsi="Arial"/>
                <w:b/>
                <w:bCs/>
                <w:color w:val="4A4A4A"/>
                <w:sz w:val="20"/>
                <w:szCs w:val="20"/>
              </w:rPr>
              <w:t xml:space="preserve">Code</w:t>
            </w:r>
          </w:p>
        </w:tc>
        <w:tc>
          <w:tcPr>
            <w:tcW w:type="dxa" w:w="7920"/>
            <w:tcBorders>
              <w:top w:val="single" w:color="CCCCCC" w:sz="1"/>
              <w:left w:val="single" w:color="CCCCCC" w:sz="1"/>
              <w:bottom w:val="single" w:color="CCCCCC" w:sz="1"/>
              <w:right w:val="single" w:color="CCCCCC" w:sz="1"/>
            </w:tcBorders>
            <w:shd w:fill="EFEFEF" w:val="clear"/>
            <w:tcMar>
              <w:top w:type="dxa" w:w="80"/>
              <w:left w:type="dxa" w:w="180"/>
              <w:bottom w:type="dxa" w:w="80"/>
              <w:right w:type="dxa" w:w="120"/>
            </w:tcMar>
          </w:tcPr>
          <w:p>
            <w:r>
              <w:rPr>
                <w:rFonts w:ascii="Courier New" w:cs="Courier New" w:eastAsia="Courier New" w:hAnsi="Courier New"/>
                <w:color w:val="4A4A4A"/>
                <w:sz w:val="18"/>
                <w:szCs w:val="18"/>
              </w:rPr>
              <w:t xml:space="preserve">// VULNERABLE:
return Problem(detail: ex.InnerException?.Message, statusCode: 500);
// SAFE:
_logger.LogError(ex, "Error for case {Id}.", id);
return Problem(title: "An unexpected error occurred.", statusCode: 500);</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Attackers extract database schema information, internal file paths, EF Core query details, and server configuration from error responses, aiding reconnaissance.</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Return generic error messages to clients. Log full details server-side via ILogger. Configure UseProblemDetails to suppress detail in non-development environments.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vAlign w:val="center"/>
          </w:tcPr>
          <w:p>
            <w:pPr>
              <w:jc w:val="center"/>
            </w:pPr>
            <w:r>
              <w:rPr>
                <w:rFonts w:ascii="Arial" w:cs="Arial" w:eastAsia="Arial" w:hAnsi="Arial"/>
                <w:b/>
                <w:bCs/>
                <w:color w:val="A04000"/>
                <w:sz w:val="20"/>
                <w:szCs w:val="20"/>
              </w:rPr>
              <w:t xml:space="preserve">HIGH</w:t>
            </w:r>
          </w:p>
        </w:tc>
        <w:tc>
          <w:tcPr>
            <w:tcW w:type="dxa" w:w="7920"/>
            <w:tcBorders>
              <w:top w:val="single" w:color="CCCCCC" w:sz="1"/>
              <w:left w:val="single" w:color="CCCCCC" w:sz="1"/>
              <w:bottom w:val="single" w:color="CCCCCC" w:sz="1"/>
              <w:right w:val="single" w:color="CCCCCC" w:sz="1"/>
            </w:tcBorders>
            <w:shd w:fill="FCE5CD" w:val="clear"/>
            <w:tcMar>
              <w:top w:type="dxa" w:w="120"/>
              <w:left w:type="dxa" w:w="180"/>
              <w:bottom w:type="dxa" w:w="120"/>
              <w:right w:type="dxa" w:w="120"/>
            </w:tcMar>
          </w:tcPr>
          <w:p>
            <w:r>
              <w:rPr>
                <w:rFonts w:ascii="Arial" w:cs="Arial" w:eastAsia="Arial" w:hAnsi="Arial"/>
                <w:b/>
                <w:bCs/>
                <w:color w:val="A04000"/>
                <w:sz w:val="22"/>
                <w:szCs w:val="22"/>
              </w:rPr>
              <w:t xml:space="preserve">H-04  </w:t>
            </w:r>
            <w:r>
              <w:rPr>
                <w:rFonts w:ascii="Arial" w:cs="Arial" w:eastAsia="Arial" w:hAnsi="Arial"/>
                <w:b/>
                <w:bCs/>
                <w:color w:val="A04000"/>
                <w:sz w:val="22"/>
                <w:szCs w:val="22"/>
              </w:rPr>
              <w:t xml:space="preserve">Predictable Reference Numbers Enable Case Enumeration</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IntakeCaseRepository.cs — GenerateReferenceNumberAsync(), GET /api/intakecases/by-reference/{ref}</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Reference numbers follow the pattern H{year}-{sequential:D4} (H2026-0001, H2026-0002, ...). Combined with the unauthenticated by-reference lookup endpoint, an attacker can iterate all reference numbers and retrieve every intake case.</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Complete enumeration of all intake cases and their PII without authentication — effectively a full data breach.</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Add authentication to the by-reference endpoint (see C-01). Incorporate a CSPRNG-generated token into reference numbers so knowledge of one does not predict others.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vAlign w:val="center"/>
          </w:tcPr>
          <w:p>
            <w:pPr>
              <w:jc w:val="center"/>
            </w:pPr>
            <w:r>
              <w:rPr>
                <w:rFonts w:ascii="Arial" w:cs="Arial" w:eastAsia="Arial" w:hAnsi="Arial"/>
                <w:b/>
                <w:bCs/>
                <w:color w:val="A04000"/>
                <w:sz w:val="20"/>
                <w:szCs w:val="20"/>
              </w:rPr>
              <w:t xml:space="preserve">HIGH</w:t>
            </w:r>
          </w:p>
        </w:tc>
        <w:tc>
          <w:tcPr>
            <w:tcW w:type="dxa" w:w="7920"/>
            <w:tcBorders>
              <w:top w:val="single" w:color="CCCCCC" w:sz="1"/>
              <w:left w:val="single" w:color="CCCCCC" w:sz="1"/>
              <w:bottom w:val="single" w:color="CCCCCC" w:sz="1"/>
              <w:right w:val="single" w:color="CCCCCC" w:sz="1"/>
            </w:tcBorders>
            <w:shd w:fill="FCE5CD" w:val="clear"/>
            <w:tcMar>
              <w:top w:type="dxa" w:w="120"/>
              <w:left w:type="dxa" w:w="180"/>
              <w:bottom w:type="dxa" w:w="120"/>
              <w:right w:type="dxa" w:w="120"/>
            </w:tcMar>
          </w:tcPr>
          <w:p>
            <w:r>
              <w:rPr>
                <w:rFonts w:ascii="Arial" w:cs="Arial" w:eastAsia="Arial" w:hAnsi="Arial"/>
                <w:b/>
                <w:bCs/>
                <w:color w:val="A04000"/>
                <w:sz w:val="22"/>
                <w:szCs w:val="22"/>
              </w:rPr>
              <w:t xml:space="preserve">H-05  </w:t>
            </w:r>
            <w:r>
              <w:rPr>
                <w:rFonts w:ascii="Arial" w:cs="Arial" w:eastAsia="Arial" w:hAnsi="Arial"/>
                <w:b/>
                <w:bCs/>
                <w:color w:val="A04000"/>
                <w:sz w:val="22"/>
                <w:szCs w:val="22"/>
              </w:rPr>
              <w:t xml:space="preserve">Overly Permissive CORS with AllowCredentials</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Program.cs — AddCors() — FrontendPolicy</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CORS policy uses AllowAnyHeader() and AllowAnyMethod() together with AllowCredentials(). AllowAnyMethod() permits DELETE and PUT from the browser; AllowAnyHeader() accepts arbitrary request headers.</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Broader CORS permissions increase the likelihood of CSRF and cross-origin data exfiltration, especially once authentication is added.</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Restrict AllowAnyMethod() to only the HTTP methods the frontend actually uses (GET, POST, PATCH). Restrict headers to only those required (Content-Type, Authorization). Verify AllowCredentials() is necessary for your auth scheme.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vAlign w:val="center"/>
          </w:tcPr>
          <w:p>
            <w:pPr>
              <w:jc w:val="center"/>
            </w:pPr>
            <w:r>
              <w:rPr>
                <w:rFonts w:ascii="Arial" w:cs="Arial" w:eastAsia="Arial" w:hAnsi="Arial"/>
                <w:b/>
                <w:bCs/>
                <w:color w:val="A04000"/>
                <w:sz w:val="20"/>
                <w:szCs w:val="20"/>
              </w:rPr>
              <w:t xml:space="preserve">HIGH</w:t>
            </w:r>
          </w:p>
        </w:tc>
        <w:tc>
          <w:tcPr>
            <w:tcW w:type="dxa" w:w="7920"/>
            <w:tcBorders>
              <w:top w:val="single" w:color="CCCCCC" w:sz="1"/>
              <w:left w:val="single" w:color="CCCCCC" w:sz="1"/>
              <w:bottom w:val="single" w:color="CCCCCC" w:sz="1"/>
              <w:right w:val="single" w:color="CCCCCC" w:sz="1"/>
            </w:tcBorders>
            <w:shd w:fill="FCE5CD" w:val="clear"/>
            <w:tcMar>
              <w:top w:type="dxa" w:w="120"/>
              <w:left w:type="dxa" w:w="180"/>
              <w:bottom w:type="dxa" w:w="120"/>
              <w:right w:type="dxa" w:w="120"/>
            </w:tcMar>
          </w:tcPr>
          <w:p>
            <w:r>
              <w:rPr>
                <w:rFonts w:ascii="Arial" w:cs="Arial" w:eastAsia="Arial" w:hAnsi="Arial"/>
                <w:b/>
                <w:bCs/>
                <w:color w:val="A04000"/>
                <w:sz w:val="22"/>
                <w:szCs w:val="22"/>
              </w:rPr>
              <w:t xml:space="preserve">H-06  </w:t>
            </w:r>
            <w:r>
              <w:rPr>
                <w:rFonts w:ascii="Arial" w:cs="Arial" w:eastAsia="Arial" w:hAnsi="Arial"/>
                <w:b/>
                <w:bCs/>
                <w:color w:val="A04000"/>
                <w:sz w:val="22"/>
                <w:szCs w:val="22"/>
              </w:rPr>
              <w:t xml:space="preserve">No Rate Limiting on Any Endpoint</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Program.cs, all controllers — no throttling middleware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No rate limiting or throttling is configured. All endpoints accept unlimited requests from any source.</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Attackers can brute-force the reference number space, launch denial-of-service attacks flooding the API or upload endpoint, and trigger expensive database queries at will.</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Add ASP.NET Core rate limiting middleware (.NET 7+ built-in via Microsoft.AspNetCore.RateLimiting). Apply strict per-IP limits to write and upload endpoints.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CE5CD" w:val="clear"/>
            <w:tcMar>
              <w:top w:type="dxa" w:w="120"/>
              <w:left w:type="dxa" w:w="120"/>
              <w:bottom w:type="dxa" w:w="120"/>
              <w:right w:type="dxa" w:w="120"/>
            </w:tcMar>
            <w:vAlign w:val="center"/>
          </w:tcPr>
          <w:p>
            <w:pPr>
              <w:jc w:val="center"/>
            </w:pPr>
            <w:r>
              <w:rPr>
                <w:rFonts w:ascii="Arial" w:cs="Arial" w:eastAsia="Arial" w:hAnsi="Arial"/>
                <w:b/>
                <w:bCs/>
                <w:color w:val="A04000"/>
                <w:sz w:val="20"/>
                <w:szCs w:val="20"/>
              </w:rPr>
              <w:t xml:space="preserve">HIGH</w:t>
            </w:r>
          </w:p>
        </w:tc>
        <w:tc>
          <w:tcPr>
            <w:tcW w:type="dxa" w:w="7920"/>
            <w:tcBorders>
              <w:top w:val="single" w:color="CCCCCC" w:sz="1"/>
              <w:left w:val="single" w:color="CCCCCC" w:sz="1"/>
              <w:bottom w:val="single" w:color="CCCCCC" w:sz="1"/>
              <w:right w:val="single" w:color="CCCCCC" w:sz="1"/>
            </w:tcBorders>
            <w:shd w:fill="FCE5CD" w:val="clear"/>
            <w:tcMar>
              <w:top w:type="dxa" w:w="120"/>
              <w:left w:type="dxa" w:w="180"/>
              <w:bottom w:type="dxa" w:w="120"/>
              <w:right w:type="dxa" w:w="120"/>
            </w:tcMar>
          </w:tcPr>
          <w:p>
            <w:r>
              <w:rPr>
                <w:rFonts w:ascii="Arial" w:cs="Arial" w:eastAsia="Arial" w:hAnsi="Arial"/>
                <w:b/>
                <w:bCs/>
                <w:color w:val="A04000"/>
                <w:sz w:val="22"/>
                <w:szCs w:val="22"/>
              </w:rPr>
              <w:t xml:space="preserve">H-07  </w:t>
            </w:r>
            <w:r>
              <w:rPr>
                <w:rFonts w:ascii="Arial" w:cs="Arial" w:eastAsia="Arial" w:hAnsi="Arial"/>
                <w:b/>
                <w:bCs/>
                <w:color w:val="A04000"/>
                <w:sz w:val="22"/>
                <w:szCs w:val="22"/>
              </w:rPr>
              <w:t xml:space="preserve">SA Database Account Used for App Connections</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docker-compose.yml — ConnectionStrings__DefaultConnection, appsettings.json</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application connects as the SQL Server sa (System Administrator) account, which has unrestricted access including CREATE/DROP database, xp_cmdshell for OS commands, and access to all databases on the instance.</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Any SQL injection vulnerability (even minor) or compromised connection string gives an attacker full control of the database server, not just the application database.</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Create a dedicated SQL login with only db_datareader and db_datawriter permissions on the application database. Update all connection strings to use this account.</w:t>
            </w:r>
          </w:p>
        </w:tc>
      </w:tr>
    </w:tbl>
    <w:p>
      <w:r>
        <w:br w:type="page"/>
      </w:r>
    </w:p>
    <w:p>
      <w:pPr>
        <w:pStyle w:val="Heading2"/>
        <w:spacing w:after="80" w:before="240"/>
      </w:pPr>
      <w:r>
        <w:rPr>
          <w:rFonts w:ascii="Arial" w:cs="Arial" w:eastAsia="Arial" w:hAnsi="Arial"/>
          <w:b/>
          <w:bCs/>
          <w:color w:val="1E3A5F"/>
          <w:sz w:val="26"/>
          <w:szCs w:val="26"/>
        </w:rPr>
        <w:t xml:space="preserve">4.3  Medium Severity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vAlign w:val="center"/>
          </w:tcPr>
          <w:p>
            <w:pPr>
              <w:jc w:val="center"/>
            </w:pPr>
            <w:r>
              <w:rPr>
                <w:rFonts w:ascii="Arial" w:cs="Arial" w:eastAsia="Arial" w:hAnsi="Arial"/>
                <w:b/>
                <w:bCs/>
                <w:color w:val="7A5800"/>
                <w:sz w:val="20"/>
                <w:szCs w:val="20"/>
              </w:rPr>
              <w:t xml:space="preserve">MEDIUM</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20"/>
            </w:tcMar>
          </w:tcPr>
          <w:p>
            <w:r>
              <w:rPr>
                <w:rFonts w:ascii="Arial" w:cs="Arial" w:eastAsia="Arial" w:hAnsi="Arial"/>
                <w:b/>
                <w:bCs/>
                <w:color w:val="7A5800"/>
                <w:sz w:val="22"/>
                <w:szCs w:val="22"/>
              </w:rPr>
              <w:t xml:space="preserve">M-01  </w:t>
            </w:r>
            <w:r>
              <w:rPr>
                <w:rFonts w:ascii="Arial" w:cs="Arial" w:eastAsia="Arial" w:hAnsi="Arial"/>
                <w:b/>
                <w:bCs/>
                <w:color w:val="7A5800"/>
                <w:sz w:val="22"/>
                <w:szCs w:val="22"/>
              </w:rPr>
              <w:t xml:space="preserve">Production Source Maps Expose Full Source Code</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frontend/vite.config.ts — build: { sourcemap: true }</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Vite build configuration generates source maps in the production bundle, causing the full original TypeScript/React source code to be served alongside the compiled JavaScript.</w:t>
            </w:r>
          </w:p>
        </w:tc>
      </w:tr>
      <w:tr>
        <w:tc>
          <w:tcPr>
            <w:tcW w:type="dxa" w:w="144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rFonts w:ascii="Arial" w:cs="Arial" w:eastAsia="Arial" w:hAnsi="Arial"/>
                <w:b/>
                <w:bCs/>
                <w:color w:val="4A4A4A"/>
                <w:sz w:val="20"/>
                <w:szCs w:val="20"/>
              </w:rPr>
              <w:t xml:space="preserve">Code</w:t>
            </w:r>
          </w:p>
        </w:tc>
        <w:tc>
          <w:tcPr>
            <w:tcW w:type="dxa" w:w="7920"/>
            <w:tcBorders>
              <w:top w:val="single" w:color="CCCCCC" w:sz="1"/>
              <w:left w:val="single" w:color="CCCCCC" w:sz="1"/>
              <w:bottom w:val="single" w:color="CCCCCC" w:sz="1"/>
              <w:right w:val="single" w:color="CCCCCC" w:sz="1"/>
            </w:tcBorders>
            <w:shd w:fill="EFEFEF" w:val="clear"/>
            <w:tcMar>
              <w:top w:type="dxa" w:w="80"/>
              <w:left w:type="dxa" w:w="180"/>
              <w:bottom w:type="dxa" w:w="80"/>
              <w:right w:type="dxa" w:w="120"/>
            </w:tcMar>
          </w:tcPr>
          <w:p>
            <w:r>
              <w:rPr>
                <w:rFonts w:ascii="Courier New" w:cs="Courier New" w:eastAsia="Courier New" w:hAnsi="Courier New"/>
                <w:color w:val="4A4A4A"/>
                <w:sz w:val="18"/>
                <w:szCs w:val="18"/>
              </w:rPr>
              <w:t xml:space="preserve">// vite.config.ts
build: {
  sourcemap: false  // or 'hidden' for Sentry/error tracking
}</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Anyone who opens browser developer tools can access the complete application source code, including business logic, API endpoint structure, and any secrets accidentally included in frontend code.</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Set sourcemap: false for production builds, or use sourcemap: 'hidden' to generate maps for error tracking tools without serving them publicly.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vAlign w:val="center"/>
          </w:tcPr>
          <w:p>
            <w:pPr>
              <w:jc w:val="center"/>
            </w:pPr>
            <w:r>
              <w:rPr>
                <w:rFonts w:ascii="Arial" w:cs="Arial" w:eastAsia="Arial" w:hAnsi="Arial"/>
                <w:b/>
                <w:bCs/>
                <w:color w:val="7A5800"/>
                <w:sz w:val="20"/>
                <w:szCs w:val="20"/>
              </w:rPr>
              <w:t xml:space="preserve">MEDIUM</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20"/>
            </w:tcMar>
          </w:tcPr>
          <w:p>
            <w:r>
              <w:rPr>
                <w:rFonts w:ascii="Arial" w:cs="Arial" w:eastAsia="Arial" w:hAnsi="Arial"/>
                <w:b/>
                <w:bCs/>
                <w:color w:val="7A5800"/>
                <w:sz w:val="22"/>
                <w:szCs w:val="22"/>
              </w:rPr>
              <w:t xml:space="preserve">M-02  </w:t>
            </w:r>
            <w:r>
              <w:rPr>
                <w:rFonts w:ascii="Arial" w:cs="Arial" w:eastAsia="Arial" w:hAnsi="Arial"/>
                <w:b/>
                <w:bCs/>
                <w:color w:val="7A5800"/>
                <w:sz w:val="22"/>
                <w:szCs w:val="22"/>
              </w:rPr>
              <w:t xml:space="preserve">No HTTP Security Headers in nginx</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frontend/nginx.conf — no security headers configured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nginx configuration serves the frontend without security headers: no Content-Security-Policy, X-Content-Type-Options, X-Frame-Options, Referrer-Policy, or Permissions-Policy.</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Without CSP, XSS attacks can execute arbitrary scripts. Without X-Frame-Options, clickjacking is possible. Without X-Content-Type-Options, browsers may MIME-sniff responses.</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Add to nginx.conf:
add_header X-Content-Type-Options "nosniff" always;
add_header X-Frame-Options "DENY" always;
add_header Referrer-Policy "strict-origin-when-cross-origin" always;
add_header Content-Security-Policy "default-src 'self'" always;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vAlign w:val="center"/>
          </w:tcPr>
          <w:p>
            <w:pPr>
              <w:jc w:val="center"/>
            </w:pPr>
            <w:r>
              <w:rPr>
                <w:rFonts w:ascii="Arial" w:cs="Arial" w:eastAsia="Arial" w:hAnsi="Arial"/>
                <w:b/>
                <w:bCs/>
                <w:color w:val="7A5800"/>
                <w:sz w:val="20"/>
                <w:szCs w:val="20"/>
              </w:rPr>
              <w:t xml:space="preserve">MEDIUM</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20"/>
            </w:tcMar>
          </w:tcPr>
          <w:p>
            <w:r>
              <w:rPr>
                <w:rFonts w:ascii="Arial" w:cs="Arial" w:eastAsia="Arial" w:hAnsi="Arial"/>
                <w:b/>
                <w:bCs/>
                <w:color w:val="7A5800"/>
                <w:sz w:val="22"/>
                <w:szCs w:val="22"/>
              </w:rPr>
              <w:t xml:space="preserve">M-03  </w:t>
            </w:r>
            <w:r>
              <w:rPr>
                <w:rFonts w:ascii="Arial" w:cs="Arial" w:eastAsia="Arial" w:hAnsi="Arial"/>
                <w:b/>
                <w:bCs/>
                <w:color w:val="7A5800"/>
                <w:sz w:val="22"/>
                <w:szCs w:val="22"/>
              </w:rPr>
              <w:t xml:space="preserve">Race Condition in Reference Number Generation</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IntakeCaseRepository.cs — GenerateReferenceNumberAsync()</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Reference numbers are generated by counting existing records and adding 1. Two simultaneous requests can read the same count and attempt to create the same reference number, causing an unhandled DbUpdateException.</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Concurrent submissions fail unpredictably. The DbUpdateException may also leak database schema details to the client (see H-03).</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Use a SQL Server SEQUENCE object or an atomic database counter to generate reference numbers, eliminating the TOCTOU race. Alternatively use UUIDs/ULIDs as reference numbers.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vAlign w:val="center"/>
          </w:tcPr>
          <w:p>
            <w:pPr>
              <w:jc w:val="center"/>
            </w:pPr>
            <w:r>
              <w:rPr>
                <w:rFonts w:ascii="Arial" w:cs="Arial" w:eastAsia="Arial" w:hAnsi="Arial"/>
                <w:b/>
                <w:bCs/>
                <w:color w:val="7A5800"/>
                <w:sz w:val="20"/>
                <w:szCs w:val="20"/>
              </w:rPr>
              <w:t xml:space="preserve">MEDIUM</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20"/>
            </w:tcMar>
          </w:tcPr>
          <w:p>
            <w:r>
              <w:rPr>
                <w:rFonts w:ascii="Arial" w:cs="Arial" w:eastAsia="Arial" w:hAnsi="Arial"/>
                <w:b/>
                <w:bCs/>
                <w:color w:val="7A5800"/>
                <w:sz w:val="22"/>
                <w:szCs w:val="22"/>
              </w:rPr>
              <w:t xml:space="preserve">M-04  </w:t>
            </w:r>
            <w:r>
              <w:rPr>
                <w:rFonts w:ascii="Arial" w:cs="Arial" w:eastAsia="Arial" w:hAnsi="Arial"/>
                <w:b/>
                <w:bCs/>
                <w:color w:val="7A5800"/>
                <w:sz w:val="22"/>
                <w:szCs w:val="22"/>
              </w:rPr>
              <w:t xml:space="preserve">No CSRF Protection on Multipart Form Endpoints</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IntakeCasesController.cs — LocalSubmit() — multipart/form-data</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local-submit endpoint accepts multipart/form-data without an anti-CSRF token. Once authentication is added, a malicious site could trick authenticated users into submitting crafted intake forms.</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Cross-site request forgery could allow attackers to submit intake forms on behalf of authenticated users after authentication is implemented.</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After implementing authentication, use [ValidateAntiForgeryToken] for form endpoints, or require a custom Authorization header (which browsers cannot set cross-origin without a preflight).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vAlign w:val="center"/>
          </w:tcPr>
          <w:p>
            <w:pPr>
              <w:jc w:val="center"/>
            </w:pPr>
            <w:r>
              <w:rPr>
                <w:rFonts w:ascii="Arial" w:cs="Arial" w:eastAsia="Arial" w:hAnsi="Arial"/>
                <w:b/>
                <w:bCs/>
                <w:color w:val="7A5800"/>
                <w:sz w:val="20"/>
                <w:szCs w:val="20"/>
              </w:rPr>
              <w:t xml:space="preserve">MEDIUM</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20"/>
            </w:tcMar>
          </w:tcPr>
          <w:p>
            <w:r>
              <w:rPr>
                <w:rFonts w:ascii="Arial" w:cs="Arial" w:eastAsia="Arial" w:hAnsi="Arial"/>
                <w:b/>
                <w:bCs/>
                <w:color w:val="7A5800"/>
                <w:sz w:val="22"/>
                <w:szCs w:val="22"/>
              </w:rPr>
              <w:t xml:space="preserve">M-05  </w:t>
            </w:r>
            <w:r>
              <w:rPr>
                <w:rFonts w:ascii="Arial" w:cs="Arial" w:eastAsia="Arial" w:hAnsi="Arial"/>
                <w:b/>
                <w:bCs/>
                <w:color w:val="7A5800"/>
                <w:sz w:val="22"/>
                <w:szCs w:val="22"/>
              </w:rPr>
              <w:t xml:space="preserve">No Audit Logging for Legal and PII Data Access</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All controllers — no audit trail implemented</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application has no audit trail for data reads, status changes, or document downloads. There is no record of who accessed which case, when, or what changes were made.</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In legal practice, audit logs are often required by professional responsibility rules, state bar regulations, and CCPA. Without them it is impossible to detect unauthorized access or demonstrate compliance.</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Implement a write-only audit log recording: actor identity, action type (READ/CREATE/UPDATE/DELETE), resource type and ID, timestamp, and source IP. Consider an append-only Azure Monitor table or dedicated audit database.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vAlign w:val="center"/>
          </w:tcPr>
          <w:p>
            <w:pPr>
              <w:jc w:val="center"/>
            </w:pPr>
            <w:r>
              <w:rPr>
                <w:rFonts w:ascii="Arial" w:cs="Arial" w:eastAsia="Arial" w:hAnsi="Arial"/>
                <w:b/>
                <w:bCs/>
                <w:color w:val="7A5800"/>
                <w:sz w:val="20"/>
                <w:szCs w:val="20"/>
              </w:rPr>
              <w:t xml:space="preserve">MEDIUM</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20"/>
            </w:tcMar>
          </w:tcPr>
          <w:p>
            <w:r>
              <w:rPr>
                <w:rFonts w:ascii="Arial" w:cs="Arial" w:eastAsia="Arial" w:hAnsi="Arial"/>
                <w:b/>
                <w:bCs/>
                <w:color w:val="7A5800"/>
                <w:sz w:val="22"/>
                <w:szCs w:val="22"/>
              </w:rPr>
              <w:t xml:space="preserve">M-06  </w:t>
            </w:r>
            <w:r>
              <w:rPr>
                <w:rFonts w:ascii="Arial" w:cs="Arial" w:eastAsia="Arial" w:hAnsi="Arial"/>
                <w:b/>
                <w:bCs/>
                <w:color w:val="7A5800"/>
                <w:sz w:val="22"/>
                <w:szCs w:val="22"/>
              </w:rPr>
              <w:t xml:space="preserve">TrustServerCertificate=True in Database Connection</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docker-compose.yml — ConnectionStrings__DefaultConnection environment variable</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The containerized connection string includes TrustServerCertificate=True, disabling TLS certificate validation. The application will connect to any SQL Server presenting any certificate, including a forged one.</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In environments where the database and API communicate over a potentially observable network segment, this allows interception and decryption of all database traffic.</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Remove TrustServerCertificate=True for staging and production. Configure SQL Server with a trusted TLS certificate and validate it from the connection string.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vAlign w:val="center"/>
          </w:tcPr>
          <w:p>
            <w:pPr>
              <w:jc w:val="center"/>
            </w:pPr>
            <w:r>
              <w:rPr>
                <w:rFonts w:ascii="Arial" w:cs="Arial" w:eastAsia="Arial" w:hAnsi="Arial"/>
                <w:b/>
                <w:bCs/>
                <w:color w:val="7A5800"/>
                <w:sz w:val="20"/>
                <w:szCs w:val="20"/>
              </w:rPr>
              <w:t xml:space="preserve">MEDIUM</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20"/>
            </w:tcMar>
          </w:tcPr>
          <w:p>
            <w:r>
              <w:rPr>
                <w:rFonts w:ascii="Arial" w:cs="Arial" w:eastAsia="Arial" w:hAnsi="Arial"/>
                <w:b/>
                <w:bCs/>
                <w:color w:val="7A5800"/>
                <w:sz w:val="22"/>
                <w:szCs w:val="22"/>
              </w:rPr>
              <w:t xml:space="preserve">M-07  </w:t>
            </w:r>
            <w:r>
              <w:rPr>
                <w:rFonts w:ascii="Arial" w:cs="Arial" w:eastAsia="Arial" w:hAnsi="Arial"/>
                <w:b/>
                <w:bCs/>
                <w:color w:val="7A5800"/>
                <w:sz w:val="22"/>
                <w:szCs w:val="22"/>
              </w:rPr>
              <w:t xml:space="preserve">No Server-Side Input Length Validation</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All controller action methods, DTO classes — no MaxLength annotations</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Text fields (owner name, address, notes, balance explanation, etc.) have no server-side maximum length constraints in DTOs or model validation attributes. Database columns also lack MaxLength configurations.</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Excessively long inputs can cause memory exhaustion, trigger database errors when strings exceed column limits (leaking schema info), or stress logging/rendering pipelines.</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Add [MaxLength] annotations to all DTO string properties. Add corresponding HasMaxLength() EF Core configurations. The [ApiController] attribute already triggers automatic 400 responses for model validation failures.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vAlign w:val="center"/>
          </w:tcPr>
          <w:p>
            <w:pPr>
              <w:jc w:val="center"/>
            </w:pPr>
            <w:r>
              <w:rPr>
                <w:rFonts w:ascii="Arial" w:cs="Arial" w:eastAsia="Arial" w:hAnsi="Arial"/>
                <w:b/>
                <w:bCs/>
                <w:color w:val="7A5800"/>
                <w:sz w:val="20"/>
                <w:szCs w:val="20"/>
              </w:rPr>
              <w:t xml:space="preserve">MEDIUM</w:t>
            </w:r>
          </w:p>
        </w:tc>
        <w:tc>
          <w:tcPr>
            <w:tcW w:type="dxa" w:w="792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20"/>
            </w:tcMar>
          </w:tcPr>
          <w:p>
            <w:r>
              <w:rPr>
                <w:rFonts w:ascii="Arial" w:cs="Arial" w:eastAsia="Arial" w:hAnsi="Arial"/>
                <w:b/>
                <w:bCs/>
                <w:color w:val="7A5800"/>
                <w:sz w:val="22"/>
                <w:szCs w:val="22"/>
              </w:rPr>
              <w:t xml:space="preserve">M-08  </w:t>
            </w:r>
            <w:r>
              <w:rPr>
                <w:rFonts w:ascii="Arial" w:cs="Arial" w:eastAsia="Arial" w:hAnsi="Arial"/>
                <w:b/>
                <w:bCs/>
                <w:color w:val="7A5800"/>
                <w:sz w:val="22"/>
                <w:szCs w:val="22"/>
              </w:rPr>
              <w:t xml:space="preserve">Swagger UI Exposure Risk in Production</w:t>
            </w:r>
          </w:p>
        </w:tc>
      </w:tr>
      <w:tr>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4A4A4A"/>
                <w:sz w:val="20"/>
                <w:szCs w:val="20"/>
              </w:rPr>
              <w:t xml:space="preserve">Location</w:t>
            </w:r>
          </w:p>
        </w:tc>
        <w:tc>
          <w:tcPr>
            <w:tcW w:type="dxa" w:w="7920"/>
            <w:tcBorders>
              <w:top w:val="single" w:color="CCCCCC" w:sz="1"/>
              <w:left w:val="single" w:color="CCCCCC" w:sz="1"/>
              <w:bottom w:val="single" w:color="CCCCCC" w:sz="1"/>
              <w:right w:val="single" w:color="CCCCCC" w:sz="1"/>
            </w:tcBorders>
            <w:shd w:fill="F8F8F8" w:val="clear"/>
            <w:tcMar>
              <w:top w:type="dxa" w:w="80"/>
              <w:left w:type="dxa" w:w="180"/>
              <w:bottom w:type="dxa" w:w="80"/>
              <w:right w:type="dxa" w:w="120"/>
            </w:tcMar>
          </w:tcPr>
          <w:p>
            <w:r>
              <w:rPr>
                <w:rFonts w:ascii="Courier New" w:cs="Courier New" w:eastAsia="Courier New" w:hAnsi="Courier New"/>
                <w:color w:val="4A4A4A"/>
                <w:sz w:val="18"/>
                <w:szCs w:val="18"/>
              </w:rPr>
              <w:t xml:space="preserve">Program.cs — app.UseSwagger() / app.UseSwaggerUI()</w:t>
            </w:r>
          </w:p>
        </w:tc>
      </w:tr>
      <w:tr>
        <w:tc>
          <w:tcPr>
            <w:tcW w:type="dxa" w:w="14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4A4A4A"/>
                <w:sz w:val="20"/>
                <w:szCs w:val="20"/>
              </w:rPr>
              <w:t xml:space="preserve">Issue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4A4A4A"/>
                <w:sz w:val="22"/>
                <w:szCs w:val="22"/>
              </w:rPr>
              <w:t xml:space="preserve">Swagger is guarded only by app.Environment.IsDevelopment(). The Docker Compose file sets ASPNETCORE_ENVIRONMENT=Development for the API container. If this is deployed as-is, Swagger UI is publicly accessible.</w:t>
            </w:r>
          </w:p>
        </w:tc>
      </w:tr>
      <w:tr>
        <w:tc>
          <w:tcPr>
            <w:tcW w:type="dxa" w:w="144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bCs/>
                <w:color w:val="8B1414"/>
                <w:sz w:val="20"/>
                <w:szCs w:val="20"/>
              </w:rPr>
              <w:t xml:space="preserve">Risk</w:t>
            </w:r>
          </w:p>
        </w:tc>
        <w:tc>
          <w:tcPr>
            <w:tcW w:type="dxa" w:w="7920"/>
            <w:tcBorders>
              <w:top w:val="single" w:color="CCCCCC" w:sz="1"/>
              <w:left w:val="single" w:color="CCCCCC" w:sz="1"/>
              <w:bottom w:val="single" w:color="CCCCCC" w:sz="1"/>
              <w:right w:val="single" w:color="CCCCCC" w:sz="1"/>
            </w:tcBorders>
            <w:shd w:fill="FFF8F8" w:val="clear"/>
            <w:tcMar>
              <w:top w:type="dxa" w:w="80"/>
              <w:left w:type="dxa" w:w="180"/>
              <w:bottom w:type="dxa" w:w="80"/>
              <w:right w:type="dxa" w:w="120"/>
            </w:tcMar>
          </w:tcPr>
          <w:p>
            <w:r>
              <w:rPr>
                <w:rFonts w:ascii="Arial" w:cs="Arial" w:eastAsia="Arial" w:hAnsi="Arial"/>
                <w:color w:val="4A4A4A"/>
                <w:sz w:val="22"/>
                <w:szCs w:val="22"/>
              </w:rPr>
              <w:t xml:space="preserve">Swagger provides an interactive map of all API endpoints, parameters, and response schemas, greatly aiding an attacker in exploiting the unauthenticated API.</w:t>
            </w:r>
          </w:p>
        </w:tc>
      </w:tr>
      <w:tr>
        <w:tc>
          <w:tcPr>
            <w:tcW w:type="dxa" w:w="144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bCs/>
                <w:color w:val="1A5C2E"/>
                <w:sz w:val="20"/>
                <w:szCs w:val="20"/>
              </w:rPr>
              <w:t xml:space="preserve">Fix</w:t>
            </w:r>
          </w:p>
        </w:tc>
        <w:tc>
          <w:tcPr>
            <w:tcW w:type="dxa" w:w="7920"/>
            <w:tcBorders>
              <w:top w:val="single" w:color="CCCCCC" w:sz="1"/>
              <w:left w:val="single" w:color="CCCCCC" w:sz="1"/>
              <w:bottom w:val="single" w:color="CCCCCC" w:sz="1"/>
              <w:right w:val="single" w:color="CCCCCC" w:sz="1"/>
            </w:tcBorders>
            <w:shd w:fill="F0F7F0" w:val="clear"/>
            <w:tcMar>
              <w:top w:type="dxa" w:w="80"/>
              <w:left w:type="dxa" w:w="180"/>
              <w:bottom w:type="dxa" w:w="80"/>
              <w:right w:type="dxa" w:w="120"/>
            </w:tcMar>
          </w:tcPr>
          <w:p>
            <w:r>
              <w:rPr>
                <w:rFonts w:ascii="Arial" w:cs="Arial" w:eastAsia="Arial" w:hAnsi="Arial"/>
                <w:color w:val="4A4A4A"/>
                <w:sz w:val="22"/>
                <w:szCs w:val="22"/>
              </w:rPr>
              <w:t xml:space="preserve">Set ASPNETCORE_ENVIRONMENT=Production in production deployments. Add an explicit feature flag to further guard Swagger. Remove the Development default from docker-compose.yml before any non-local deployment.</w:t>
            </w:r>
          </w:p>
        </w:tc>
      </w:tr>
    </w:tbl>
    <w:p>
      <w:r>
        <w:br w:type="page"/>
      </w:r>
    </w:p>
    <w:p>
      <w:pPr>
        <w:pStyle w:val="Heading1"/>
        <w:spacing w:after="100" w:before="320"/>
      </w:pPr>
      <w:r>
        <w:rPr>
          <w:rFonts w:ascii="Arial" w:cs="Arial" w:eastAsia="Arial" w:hAnsi="Arial"/>
          <w:b/>
          <w:bCs/>
          <w:color w:val="1E3A5F"/>
          <w:sz w:val="32"/>
          <w:szCs w:val="32"/>
        </w:rPr>
        <w:t xml:space="preserve">5. Remediation Priority</w:t>
      </w:r>
    </w:p>
    <w:p>
      <w:pPr>
        <w:spacing w:after="80" w:before="80"/>
      </w:pPr>
      <w:r>
        <w:rPr>
          <w:rFonts w:ascii="Arial" w:cs="Arial" w:eastAsia="Arial" w:hAnsi="Arial"/>
          <w:color w:val="4A4A4A"/>
          <w:sz w:val="22"/>
          <w:szCs w:val="22"/>
        </w:rPr>
        <w:t xml:space="preserve">Suggested order based on exploitability, impact, and implementation effort: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60"/>
        <w:gridCol w:w="2520"/>
        <w:gridCol w:w="2160"/>
        <w:gridCol w:w="27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1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Finding</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Action</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Effort</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80"/>
            </w:tcMar>
          </w:tcPr>
          <w:p>
            <w:r>
              <w:rPr>
                <w:rFonts w:ascii="Arial" w:cs="Arial" w:eastAsia="Arial" w:hAnsi="Arial"/>
                <w:b/>
                <w:bCs/>
                <w:color w:val="FFFFFF"/>
                <w:sz w:val="20"/>
                <w:szCs w:val="20"/>
              </w:rPr>
              <w:t xml:space="preserve">Timeline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C-01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Implement authentication (Azure AD/Entra ID)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Medium</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Before go-live</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2</w:t>
            </w:r>
          </w:p>
        </w:tc>
        <w:tc>
          <w:tcPr>
            <w:tcW w:type="dxa" w:w="12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C-02</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Fix path traversal in download endpoint</w:t>
            </w:r>
          </w:p>
        </w:tc>
        <w:tc>
          <w:tcPr>
            <w:tcW w:type="dxa" w:w="2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Low</w:t>
            </w:r>
          </w:p>
        </w:tc>
        <w:tc>
          <w:tcPr>
            <w:tcW w:type="dxa" w:w="27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Immediate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C-03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Fix path traversal in local-submit endpoint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Low</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Immediate</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4</w:t>
            </w:r>
          </w:p>
        </w:tc>
        <w:tc>
          <w:tcPr>
            <w:tcW w:type="dxa" w:w="12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C-04</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Add magic byte file validation</w:t>
            </w:r>
          </w:p>
        </w:tc>
        <w:tc>
          <w:tcPr>
            <w:tcW w:type="dxa" w:w="2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Low</w:t>
            </w:r>
          </w:p>
        </w:tc>
        <w:tc>
          <w:tcPr>
            <w:tcW w:type="dxa" w:w="27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Immediate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H-02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Remove hardcoded default DB password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Low</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Immediate</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6</w:t>
            </w:r>
          </w:p>
        </w:tc>
        <w:tc>
          <w:tcPr>
            <w:tcW w:type="dxa" w:w="12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H-03</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Suppress error details in API responses</w:t>
            </w:r>
          </w:p>
        </w:tc>
        <w:tc>
          <w:tcPr>
            <w:tcW w:type="dxa" w:w="2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Low</w:t>
            </w:r>
          </w:p>
        </w:tc>
        <w:tc>
          <w:tcPr>
            <w:tcW w:type="dxa" w:w="27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This sprint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H-07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Replace SA account with least-privilege DB user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Low</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This sprint</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8</w:t>
            </w:r>
          </w:p>
        </w:tc>
        <w:tc>
          <w:tcPr>
            <w:tcW w:type="dxa" w:w="12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H-01</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Implement PII field-level access control</w:t>
            </w:r>
          </w:p>
        </w:tc>
        <w:tc>
          <w:tcPr>
            <w:tcW w:type="dxa" w:w="2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Medium</w:t>
            </w:r>
          </w:p>
        </w:tc>
        <w:tc>
          <w:tcPr>
            <w:tcW w:type="dxa" w:w="27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Before go-live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H-04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Add auth to by-reference lookup endpoint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Low</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Before go-live</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10</w:t>
            </w:r>
          </w:p>
        </w:tc>
        <w:tc>
          <w:tcPr>
            <w:tcW w:type="dxa" w:w="12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H-06</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Add rate limiting middleware</w:t>
            </w:r>
          </w:p>
        </w:tc>
        <w:tc>
          <w:tcPr>
            <w:tcW w:type="dxa" w:w="2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Low</w:t>
            </w:r>
          </w:p>
        </w:tc>
        <w:tc>
          <w:tcPr>
            <w:tcW w:type="dxa" w:w="27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Before go-live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11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M-01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Disable production source maps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Low</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This sprint</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12</w:t>
            </w:r>
          </w:p>
        </w:tc>
        <w:tc>
          <w:tcPr>
            <w:tcW w:type="dxa" w:w="12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M-02</w:t>
            </w:r>
          </w:p>
        </w:tc>
        <w:tc>
          <w:tcPr>
            <w:tcW w:type="dxa" w:w="25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Add HTTP security headers to nginx</w:t>
            </w:r>
          </w:p>
        </w:tc>
        <w:tc>
          <w:tcPr>
            <w:tcW w:type="dxa" w:w="216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Low</w:t>
            </w:r>
          </w:p>
        </w:tc>
        <w:tc>
          <w:tcPr>
            <w:tcW w:type="dxa" w:w="270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80"/>
            </w:tcMar>
          </w:tcPr>
          <w:p>
            <w:r>
              <w:rPr>
                <w:rFonts w:ascii="Arial" w:cs="Arial" w:eastAsia="Arial" w:hAnsi="Arial"/>
                <w:color w:val="4A4A4A"/>
                <w:sz w:val="20"/>
                <w:szCs w:val="20"/>
              </w:rPr>
              <w:t xml:space="preserve">This sprint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13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M-05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Implement audit logging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Medium</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4A4A4A"/>
                <w:sz w:val="20"/>
                <w:szCs w:val="20"/>
              </w:rPr>
              <w:t xml:space="preserve">Before go-live</w:t>
            </w:r>
          </w:p>
        </w:tc>
      </w:tr>
    </w:tbl>
    <w:p>
      <w:pPr>
        <w:spacing w:after="0" w:before="160"/>
      </w:pPr>
      <w:r>
        <w:t xml:space="preserve"/>
      </w:r>
    </w:p>
    <w:p>
      <w:pPr>
        <w:pStyle w:val="Heading1"/>
        <w:spacing w:after="100" w:before="320"/>
      </w:pPr>
      <w:r>
        <w:rPr>
          <w:rFonts w:ascii="Arial" w:cs="Arial" w:eastAsia="Arial" w:hAnsi="Arial"/>
          <w:b/>
          <w:bCs/>
          <w:color w:val="1E3A5F"/>
          <w:sz w:val="32"/>
          <w:szCs w:val="32"/>
        </w:rPr>
        <w:t xml:space="preserve">6. Disclaimer</w:t>
      </w:r>
    </w:p>
    <w:p>
      <w:pPr>
        <w:spacing w:after="80" w:before="80"/>
      </w:pPr>
      <w:r>
        <w:rPr>
          <w:rFonts w:ascii="Arial" w:cs="Arial" w:eastAsia="Arial" w:hAnsi="Arial"/>
          <w:color w:val="4A4A4A"/>
          <w:sz w:val="22"/>
          <w:szCs w:val="22"/>
        </w:rPr>
        <w:t xml:space="preserve">This assessment was conducted via static code analysis only. It does not constitute a complete penetration test or security audit. Findings may be incomplete, and additional vulnerabilities may exist that require dynamic testing, dependency scanning, or infrastructure review to identify.</w:t>
      </w:r>
    </w:p>
    <w:p>
      <w:pPr>
        <w:spacing w:after="0" w:before="80"/>
      </w:pPr>
      <w:r>
        <w:t xml:space="preserve"/>
      </w:r>
    </w:p>
    <w:p>
      <w:pPr>
        <w:spacing w:after="80" w:before="80"/>
      </w:pPr>
      <w:r>
        <w:rPr>
          <w:rFonts w:ascii="Arial" w:cs="Arial" w:eastAsia="Arial" w:hAnsi="Arial"/>
          <w:color w:val="4A4A4A"/>
          <w:sz w:val="22"/>
          <w:szCs w:val="22"/>
        </w:rPr>
        <w:t xml:space="preserve">This report is CONFIDENTIAL and intended solely for the Law Office of Thomas M. Hogan and authorized personnel. Do not distribute.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pPr>
    <w:r>
      <w:rPr>
        <w:rFonts w:ascii="Arial" w:cs="Arial" w:eastAsia="Arial" w:hAnsi="Arial"/>
        <w:color w:val="888888"/>
        <w:sz w:val="18"/>
        <w:szCs w:val="18"/>
      </w:rPr>
      <w:t xml:space="preserve">CONFIDENTIAL — AttorneyIntake Security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2026-04-15T22:15:46.444Z</dcterms:created>
  <dcterms:modified xsi:type="dcterms:W3CDTF">2026-04-15T22:15:46.444Z</dcterms:modified>
</cp:coreProperties>
</file>

<file path=docProps/custom.xml><?xml version="1.0" encoding="utf-8"?>
<Properties xmlns="http://schemas.openxmlformats.org/officeDocument/2006/custom-properties" xmlns:vt="http://schemas.openxmlformats.org/officeDocument/2006/docPropsVTypes"/>
</file>