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Georgia" w:cs="Georgia" w:eastAsia="Georgia" w:hAnsi="Georgia"/>
          <w:b/>
          <w:bCs/>
          <w:color w:val="1A1A2E"/>
          <w:spacing w:val="200"/>
          <w:sz w:val="52"/>
          <w:szCs w:val="52"/>
        </w:rPr>
        <w:t xml:space="preserve">EL CLIC SISTÉMICO</w:t>
      </w:r>
    </w:p>
    <w:p>
      <w:pPr>
        <w:spacing w:before="0" w:after="200"/>
        <w:jc w:val="center"/>
      </w:pPr>
      <w:r>
        <w:rPr>
          <w:rFonts w:ascii="Georgia" w:cs="Georgia" w:eastAsia="Georgia" w:hAnsi="Georgia"/>
          <w:i/>
          <w:iCs/>
          <w:color w:val="8B7D6B"/>
          <w:sz w:val="26"/>
          <w:szCs w:val="26"/>
        </w:rPr>
        <w:t xml:space="preserve">Cartografía de la Iluminación Súbita</w:t>
      </w:r>
    </w:p>
    <w:p>
      <w:pPr>
        <w:spacing w:before="320" w:after="320"/>
        <w:jc w:val="center"/>
      </w:pPr>
      <w:r>
        <w:rPr>
          <w:rFonts w:ascii="Georgia" w:cs="Georgia" w:eastAsia="Georgia" w:hAnsi="Georgia"/>
          <w:color w:val="C9A84C"/>
          <w:sz w:val="22"/>
          <w:szCs w:val="22"/>
        </w:rPr>
        <w:t xml:space="preserve">— ✦ —</w:t>
      </w:r>
    </w:p>
    <w:p>
      <w:pPr>
        <w:pBdr>
          <w:bottom w:val="single" w:color="C9A84C" w:sz="4" w:space="8"/>
        </w:pBdr>
        <w:spacing w:before="520" w:after="280"/>
        <w:jc w:val="center"/>
      </w:pPr>
      <w:r>
        <w:rPr>
          <w:rFonts w:ascii="Georgia" w:cs="Georgia" w:eastAsia="Georgia" w:hAnsi="Georgia"/>
          <w:b/>
          <w:bCs/>
          <w:color w:val="1A1A2E"/>
          <w:spacing w:val="120"/>
          <w:sz w:val="28"/>
          <w:szCs w:val="28"/>
        </w:rPr>
        <w:t xml:space="preserve">I. QUÉ ES</w:t>
      </w:r>
    </w:p>
    <w:p>
      <w:pPr>
        <w:spacing w:before="120" w:after="120" w:line="360"/>
        <w:jc w:val="both"/>
      </w:pPr>
      <w:r>
        <w:rPr>
          <w:rFonts w:ascii="Georgia" w:cs="Georgia" w:eastAsia="Georgia" w:hAnsi="Georgia"/>
          <w:i w:val="false"/>
          <w:iCs w:val="false"/>
          <w:color w:val="1A1A2E"/>
          <w:sz w:val="23"/>
          <w:szCs w:val="23"/>
        </w:rPr>
        <w:t xml:space="preserve">El clic sistémico es el momento en que la coherencia entre capas de realidad se hace simultáneamente presente en el organismo completo.</w:t>
      </w:r>
    </w:p>
    <w:p>
      <w:pPr>
        <w:spacing w:before="120" w:after="120" w:line="360"/>
        <w:jc w:val="both"/>
      </w:pPr>
      <w:r>
        <w:rPr>
          <w:rFonts w:ascii="Georgia" w:cs="Georgia" w:eastAsia="Georgia" w:hAnsi="Georgia"/>
          <w:i w:val="false"/>
          <w:iCs w:val="false"/>
          <w:color w:val="1A1A2E"/>
          <w:sz w:val="23"/>
          <w:szCs w:val="23"/>
        </w:rPr>
        <w:t xml:space="preserve">No es una idea que se comprende. No es una emoción que se siente. Es una consolidación estructural — el instante en que todas las reprogramaciones simbólicas que estuvieron integrándose silenciosamente en capas profundas alcanzan un umbral crítico y colapsan en un único evento de reconocimiento.</w:t>
      </w:r>
    </w:p>
    <w:p>
      <w:pPr>
        <w:spacing w:before="120" w:after="120" w:line="360"/>
        <w:jc w:val="both"/>
      </w:pPr>
      <w:r>
        <w:rPr>
          <w:rFonts w:ascii="Georgia" w:cs="Georgia" w:eastAsia="Georgia" w:hAnsi="Georgia"/>
          <w:i w:val="false"/>
          <w:iCs w:val="false"/>
          <w:color w:val="1A1A2E"/>
          <w:sz w:val="23"/>
          <w:szCs w:val="23"/>
        </w:rPr>
        <w:t xml:space="preserve">El sistema nervioso no lo procesa secuencialmente. Lo recibe de golpe, como cuando una figura escondida en un cuadro de puntos de repente se vuelve imposible de no ver. Una vez que ocurrió, no puede desocurrir.</w:t>
      </w:r>
    </w:p>
    <w:p>
      <w:pPr>
        <w:pBdr>
          <w:left w:val="thick" w:color="C9A84C" w:sz="12" w:space="12"/>
        </w:pBdr>
        <w:spacing w:before="280" w:after="280"/>
        <w:ind w:left="480" w:right="480"/>
        <w:jc w:val="center"/>
      </w:pPr>
      <w:r>
        <w:rPr>
          <w:rFonts w:ascii="Georgia" w:cs="Georgia" w:eastAsia="Georgia" w:hAnsi="Georgia"/>
          <w:i/>
          <w:iCs/>
          <w:color w:val="1A1A2E"/>
          <w:sz w:val="23"/>
          <w:szCs w:val="23"/>
        </w:rPr>
        <w:t xml:space="preserve">La calibración simultánea del sistema dopaminérgico y serotoninérgico genera una señal de alta relevancia + alta integración que el lóbulo frontal no logra fechar en la línea temporal ordinaria porque la experiencia excede el contenedor secuencial del yo narrativo. El cerebro recibe coherencia a una velocidad mayor que la velocidad de la historia que se cuenta sobre sí mismo.</w:t>
      </w:r>
    </w:p>
    <w:p>
      <w:pPr>
        <w:spacing w:before="320" w:after="320"/>
        <w:jc w:val="center"/>
      </w:pPr>
      <w:r>
        <w:rPr>
          <w:rFonts w:ascii="Georgia" w:cs="Georgia" w:eastAsia="Georgia" w:hAnsi="Georgia"/>
          <w:color w:val="C9A84C"/>
          <w:sz w:val="22"/>
          <w:szCs w:val="22"/>
        </w:rPr>
        <w:t xml:space="preserve">— ✦ —</w:t>
      </w:r>
    </w:p>
    <w:p>
      <w:pPr>
        <w:pBdr>
          <w:bottom w:val="single" w:color="C9A84C" w:sz="4" w:space="8"/>
        </w:pBdr>
        <w:spacing w:before="520" w:after="280"/>
        <w:jc w:val="center"/>
      </w:pPr>
      <w:r>
        <w:rPr>
          <w:rFonts w:ascii="Georgia" w:cs="Georgia" w:eastAsia="Georgia" w:hAnsi="Georgia"/>
          <w:b/>
          <w:bCs/>
          <w:color w:val="1A1A2E"/>
          <w:spacing w:val="120"/>
          <w:sz w:val="28"/>
          <w:szCs w:val="28"/>
        </w:rPr>
        <w:t xml:space="preserve">II. CÓMO SE EXPERIMENTA</w:t>
      </w:r>
    </w:p>
    <w:p>
      <w:pPr>
        <w:spacing w:before="120" w:after="120" w:line="360"/>
        <w:jc w:val="both"/>
      </w:pPr>
      <w:r>
        <w:rPr>
          <w:rFonts w:ascii="Georgia" w:cs="Georgia" w:eastAsia="Georgia" w:hAnsi="Georgia"/>
          <w:i w:val="false"/>
          <w:iCs w:val="false"/>
          <w:color w:val="1A1A2E"/>
          <w:sz w:val="23"/>
          <w:szCs w:val="23"/>
        </w:rPr>
        <w:t xml:space="preserve">Hay una firma fenomenológica reconocible a través de culturas, épocas y sustancias:</w:t>
      </w:r>
    </w:p>
    <w:p>
      <w:pPr>
        <w:spacing w:before="400" w:after="160"/>
      </w:pPr>
      <w:r>
        <w:rPr>
          <w:rFonts w:ascii="Georgia" w:cs="Georgia" w:eastAsia="Georgia" w:hAnsi="Georgia"/>
          <w:b/>
          <w:bCs/>
          <w:color w:val="C9A84C"/>
          <w:sz w:val="24"/>
          <w:szCs w:val="24"/>
        </w:rPr>
        <w:t xml:space="preserve">✦  Atemporalidad súbita</w:t>
      </w:r>
    </w:p>
    <w:p>
      <w:pPr>
        <w:spacing w:before="120" w:after="120" w:line="360"/>
        <w:jc w:val="both"/>
      </w:pPr>
      <w:r>
        <w:rPr>
          <w:rFonts w:ascii="Georgia" w:cs="Georgia" w:eastAsia="Georgia" w:hAnsi="Georgia"/>
          <w:i w:val="false"/>
          <w:iCs w:val="false"/>
          <w:color w:val="1A1A2E"/>
          <w:sz w:val="23"/>
          <w:szCs w:val="23"/>
        </w:rPr>
        <w:t xml:space="preserve">El presente se expande y el antes y el después pierden peso. No hay urgencia porque no hay secuencia que proteger.</w:t>
      </w:r>
    </w:p>
    <w:p>
      <w:pPr>
        <w:spacing w:before="400" w:after="160"/>
      </w:pPr>
      <w:r>
        <w:rPr>
          <w:rFonts w:ascii="Georgia" w:cs="Georgia" w:eastAsia="Georgia" w:hAnsi="Georgia"/>
          <w:b/>
          <w:bCs/>
          <w:color w:val="C9A84C"/>
          <w:sz w:val="24"/>
          <w:szCs w:val="24"/>
        </w:rPr>
        <w:t xml:space="preserve">✦  Certeza sin argumento</w:t>
      </w:r>
    </w:p>
    <w:p>
      <w:pPr>
        <w:spacing w:before="120" w:after="120" w:line="360"/>
        <w:jc w:val="both"/>
      </w:pPr>
      <w:r>
        <w:rPr>
          <w:rFonts w:ascii="Georgia" w:cs="Georgia" w:eastAsia="Georgia" w:hAnsi="Georgia"/>
          <w:i w:val="false"/>
          <w:iCs w:val="false"/>
          <w:color w:val="1A1A2E"/>
          <w:sz w:val="23"/>
          <w:szCs w:val="23"/>
        </w:rPr>
        <w:t xml:space="preserve">No se sabe por qué se sabe. El conocimiento llega sin escalera. La comprensión es anterior a su propia justificación.</w:t>
      </w:r>
    </w:p>
    <w:p>
      <w:pPr>
        <w:spacing w:before="400" w:after="160"/>
      </w:pPr>
      <w:r>
        <w:rPr>
          <w:rFonts w:ascii="Georgia" w:cs="Georgia" w:eastAsia="Georgia" w:hAnsi="Georgia"/>
          <w:b/>
          <w:bCs/>
          <w:color w:val="C9A84C"/>
          <w:sz w:val="24"/>
          <w:szCs w:val="24"/>
        </w:rPr>
        <w:t xml:space="preserve">✦  Disolución del contorno del yo</w:t>
      </w:r>
    </w:p>
    <w:p>
      <w:pPr>
        <w:spacing w:before="120" w:after="120" w:line="360"/>
        <w:jc w:val="both"/>
      </w:pPr>
      <w:r>
        <w:rPr>
          <w:rFonts w:ascii="Georgia" w:cs="Georgia" w:eastAsia="Georgia" w:hAnsi="Georgia"/>
          <w:i w:val="false"/>
          <w:iCs w:val="false"/>
          <w:color w:val="1A1A2E"/>
          <w:sz w:val="23"/>
          <w:szCs w:val="23"/>
        </w:rPr>
        <w:t xml:space="preserve">El límite entre el yo y lo que se observa se vuelve funcional en lugar de absoluto. No desaparece la conciencia — se amplía su perímetro.</w:t>
      </w:r>
    </w:p>
    <w:p>
      <w:pPr>
        <w:spacing w:before="400" w:after="160"/>
      </w:pPr>
      <w:r>
        <w:rPr>
          <w:rFonts w:ascii="Georgia" w:cs="Georgia" w:eastAsia="Georgia" w:hAnsi="Georgia"/>
          <w:b/>
          <w:bCs/>
          <w:color w:val="C9A84C"/>
          <w:sz w:val="24"/>
          <w:szCs w:val="24"/>
        </w:rPr>
        <w:t xml:space="preserve">✦  Reconocimiento, no descubrimiento</w:t>
      </w:r>
    </w:p>
    <w:p>
      <w:pPr>
        <w:spacing w:before="120" w:after="120" w:line="360"/>
        <w:jc w:val="both"/>
      </w:pPr>
      <w:r>
        <w:rPr>
          <w:rFonts w:ascii="Georgia" w:cs="Georgia" w:eastAsia="Georgia" w:hAnsi="Georgia"/>
          <w:i w:val="false"/>
          <w:iCs w:val="false"/>
          <w:color w:val="1A1A2E"/>
          <w:sz w:val="23"/>
          <w:szCs w:val="23"/>
        </w:rPr>
        <w:t xml:space="preserve">La experiencia más frecuente no es encontré algo nuevo sino siempre supe esto y acabo de recordarlo. El clic suena a retorno, no a llegada.</w:t>
      </w:r>
    </w:p>
    <w:p>
      <w:pPr>
        <w:spacing w:before="400" w:after="160"/>
      </w:pPr>
      <w:r>
        <w:rPr>
          <w:rFonts w:ascii="Georgia" w:cs="Georgia" w:eastAsia="Georgia" w:hAnsi="Georgia"/>
          <w:b/>
          <w:bCs/>
          <w:color w:val="C9A84C"/>
          <w:sz w:val="24"/>
          <w:szCs w:val="24"/>
        </w:rPr>
        <w:t xml:space="preserve">✦  Carga emocional sin causa identificable</w:t>
      </w:r>
    </w:p>
    <w:p>
      <w:pPr>
        <w:spacing w:before="120" w:after="120" w:line="360"/>
        <w:jc w:val="both"/>
      </w:pPr>
      <w:r>
        <w:rPr>
          <w:rFonts w:ascii="Georgia" w:cs="Georgia" w:eastAsia="Georgia" w:hAnsi="Georgia"/>
          <w:i w:val="false"/>
          <w:iCs w:val="false"/>
          <w:color w:val="1A1A2E"/>
          <w:sz w:val="23"/>
          <w:szCs w:val="23"/>
        </w:rPr>
        <w:t xml:space="preserve">Llanto, risa, quietud profunda o euforia sin objeto concreto. La emoción es la respuesta orgánica a la coherencia, no a un evento externo.</w:t>
      </w:r>
    </w:p>
    <w:p>
      <w:pPr>
        <w:spacing w:before="400" w:after="160"/>
      </w:pPr>
      <w:r>
        <w:rPr>
          <w:rFonts w:ascii="Georgia" w:cs="Georgia" w:eastAsia="Georgia" w:hAnsi="Georgia"/>
          <w:b/>
          <w:bCs/>
          <w:color w:val="C9A84C"/>
          <w:sz w:val="24"/>
          <w:szCs w:val="24"/>
        </w:rPr>
        <w:t xml:space="preserve">✦  Silencio interior post-clic</w:t>
      </w:r>
    </w:p>
    <w:p>
      <w:pPr>
        <w:spacing w:before="120" w:after="120" w:line="360"/>
        <w:jc w:val="both"/>
      </w:pPr>
      <w:r>
        <w:rPr>
          <w:rFonts w:ascii="Georgia" w:cs="Georgia" w:eastAsia="Georgia" w:hAnsi="Georgia"/>
          <w:i w:val="false"/>
          <w:iCs w:val="false"/>
          <w:color w:val="1A1A2E"/>
          <w:sz w:val="23"/>
          <w:szCs w:val="23"/>
        </w:rPr>
        <w:t xml:space="preserve">El diálogo interno que normalmente comenta toda experiencia se detiene brevemente. El sistema no genera narrativa porque la narrativa sería más pequeña que lo que acaba de ocurrir.</w:t>
      </w:r>
    </w:p>
    <w:p>
      <w:pPr>
        <w:spacing w:before="320" w:after="320"/>
        <w:jc w:val="center"/>
      </w:pPr>
      <w:r>
        <w:rPr>
          <w:rFonts w:ascii="Georgia" w:cs="Georgia" w:eastAsia="Georgia" w:hAnsi="Georgia"/>
          <w:color w:val="C9A84C"/>
          <w:sz w:val="22"/>
          <w:szCs w:val="22"/>
        </w:rPr>
        <w:t xml:space="preserve">— ✦ —</w:t>
      </w:r>
    </w:p>
    <w:p>
      <w:pPr>
        <w:pBdr>
          <w:bottom w:val="single" w:color="C9A84C" w:sz="4" w:space="8"/>
        </w:pBdr>
        <w:spacing w:before="520" w:after="280"/>
        <w:jc w:val="center"/>
      </w:pPr>
      <w:r>
        <w:rPr>
          <w:rFonts w:ascii="Georgia" w:cs="Georgia" w:eastAsia="Georgia" w:hAnsi="Georgia"/>
          <w:b/>
          <w:bCs/>
          <w:color w:val="1A1A2E"/>
          <w:spacing w:val="120"/>
          <w:sz w:val="28"/>
          <w:szCs w:val="28"/>
        </w:rPr>
        <w:t xml:space="preserve">III. QUÉ SIMBOLIZA</w:t>
      </w:r>
    </w:p>
    <w:p>
      <w:pPr>
        <w:spacing w:before="120" w:after="120" w:line="360"/>
        <w:jc w:val="both"/>
      </w:pPr>
      <w:r>
        <w:rPr>
          <w:rFonts w:ascii="Georgia" w:cs="Georgia" w:eastAsia="Georgia" w:hAnsi="Georgia"/>
          <w:i w:val="false"/>
          <w:iCs w:val="false"/>
          <w:color w:val="1A1A2E"/>
          <w:sz w:val="23"/>
          <w:szCs w:val="23"/>
        </w:rPr>
        <w:t xml:space="preserve">El clic sistémico es el marcador biológico de que una reprogramación simbólica estructural ha completado su ciclo de integración.</w:t>
      </w:r>
    </w:p>
    <w:p>
      <w:pPr>
        <w:spacing w:before="120" w:after="120" w:line="360"/>
        <w:jc w:val="both"/>
      </w:pPr>
      <w:r>
        <w:rPr>
          <w:rFonts w:ascii="Georgia" w:cs="Georgia" w:eastAsia="Georgia" w:hAnsi="Georgia"/>
          <w:i w:val="false"/>
          <w:iCs w:val="false"/>
          <w:color w:val="1A1A2E"/>
          <w:sz w:val="23"/>
          <w:szCs w:val="23"/>
        </w:rPr>
        <w:t xml:space="preserve">No ocurre durante el trabajo. Ocurre después — cuando las piezas que se estuvieron moviendo en la oscuridad del proceso inconsciente finalmente encuentran su posición y el sistema entero resuena con la nueva configuración.</w:t>
      </w:r>
    </w:p>
    <w:p>
      <w:pPr>
        <w:spacing w:before="120" w:after="120" w:line="360"/>
        <w:jc w:val="both"/>
      </w:pPr>
      <w:r>
        <w:rPr>
          <w:rFonts w:ascii="Georgia" w:cs="Georgia" w:eastAsia="Georgia" w:hAnsi="Georgia"/>
          <w:i w:val="false"/>
          <w:iCs w:val="false"/>
          <w:color w:val="1A1A2E"/>
          <w:sz w:val="23"/>
          <w:szCs w:val="23"/>
        </w:rPr>
        <w:t xml:space="preserve">Simboliza el umbral entre dos versiones del organismo: el que procesaba la realidad desde una estructura simbólica anterior y el que ahora opera desde la nueva. Por eso no se puede volver. No es una experiencia que se tiene y pasa — es una reorganización que permanece como nuevo suelo.</w:t>
      </w:r>
    </w:p>
    <w:p>
      <w:pPr>
        <w:pBdr>
          <w:left w:val="thick" w:color="C9A84C" w:sz="12" w:space="12"/>
        </w:pBdr>
        <w:spacing w:before="280" w:after="280"/>
        <w:ind w:left="480" w:right="480"/>
        <w:jc w:val="center"/>
      </w:pPr>
      <w:r>
        <w:rPr>
          <w:rFonts w:ascii="Georgia" w:cs="Georgia" w:eastAsia="Georgia" w:hAnsi="Georgia"/>
          <w:i/>
          <w:iCs/>
          <w:color w:val="1A1A2E"/>
          <w:sz w:val="23"/>
          <w:szCs w:val="23"/>
        </w:rPr>
        <w:t xml:space="preserve">En el lenguaje de la Metaconciencia Evolutiva: es el momento en que la caída con dirección revela que nunca fue caída — fue descenso hacia el siguiente estrato fértil.</w:t>
      </w:r>
    </w:p>
    <w:p>
      <w:pPr>
        <w:spacing w:before="320" w:after="320"/>
        <w:jc w:val="center"/>
      </w:pPr>
      <w:r>
        <w:rPr>
          <w:rFonts w:ascii="Georgia" w:cs="Georgia" w:eastAsia="Georgia" w:hAnsi="Georgia"/>
          <w:color w:val="C9A84C"/>
          <w:sz w:val="22"/>
          <w:szCs w:val="22"/>
        </w:rPr>
        <w:t xml:space="preserve">— ✦ —</w:t>
      </w:r>
    </w:p>
    <w:p>
      <w:pPr>
        <w:pBdr>
          <w:bottom w:val="single" w:color="C9A84C" w:sz="4" w:space="8"/>
        </w:pBdr>
        <w:spacing w:before="520" w:after="280"/>
        <w:jc w:val="center"/>
      </w:pPr>
      <w:r>
        <w:rPr>
          <w:rFonts w:ascii="Georgia" w:cs="Georgia" w:eastAsia="Georgia" w:hAnsi="Georgia"/>
          <w:b/>
          <w:bCs/>
          <w:color w:val="1A1A2E"/>
          <w:spacing w:val="120"/>
          <w:sz w:val="28"/>
          <w:szCs w:val="28"/>
        </w:rPr>
        <w:t xml:space="preserve">IV. SUS NOMBRES EN LAS TRADICIONES</w:t>
      </w:r>
    </w:p>
    <w:p>
      <w:pPr>
        <w:spacing w:before="320" w:after="80"/>
      </w:pPr>
      <w:r>
        <w:rPr>
          <w:rFonts w:ascii="Georgia" w:cs="Georgia" w:eastAsia="Georgia" w:hAnsi="Georgia"/>
          <w:b/>
          <w:bCs/>
          <w:color w:val="1A1A2E"/>
          <w:sz w:val="24"/>
          <w:szCs w:val="24"/>
        </w:rPr>
        <w:t xml:space="preserve">Budismo Zen — Satori</w:t>
      </w:r>
    </w:p>
    <w:p>
      <w:pPr>
        <w:spacing w:before="80" w:after="160" w:line="340"/>
        <w:jc w:val="both"/>
      </w:pPr>
      <w:r>
        <w:rPr>
          <w:rFonts w:ascii="Georgia" w:cs="Georgia" w:eastAsia="Georgia" w:hAnsi="Georgia"/>
          <w:color w:val="1A1A2E"/>
          <w:sz w:val="23"/>
          <w:szCs w:val="23"/>
        </w:rPr>
        <w:t xml:space="preserve">La iluminación súbita que no se alcanza buscándola directamente sino como consecuencia de una práctica sostenida. El maestro Hui-neng la distinguió radicalmente de la iluminación gradual: no es acumulación, es colapso de la estructura que impedía ver lo que siempre estuvo ahí. El koan no resuelve el problema — destruye el marco cognitivo que lo generaba. El clic es la destrucción del marco.</w:t>
      </w:r>
    </w:p>
    <w:p>
      <w:pPr>
        <w:spacing w:before="320" w:after="80"/>
      </w:pPr>
      <w:r>
        <w:rPr>
          <w:rFonts w:ascii="Georgia" w:cs="Georgia" w:eastAsia="Georgia" w:hAnsi="Georgia"/>
          <w:b/>
          <w:bCs/>
          <w:color w:val="1A1A2E"/>
          <w:sz w:val="24"/>
          <w:szCs w:val="24"/>
        </w:rPr>
        <w:t xml:space="preserve">Hinduismo advaita — Moksha / Samadhi</w:t>
      </w:r>
    </w:p>
    <w:p>
      <w:pPr>
        <w:spacing w:before="80" w:after="160" w:line="340"/>
        <w:jc w:val="both"/>
      </w:pPr>
      <w:r>
        <w:rPr>
          <w:rFonts w:ascii="Georgia" w:cs="Georgia" w:eastAsia="Georgia" w:hAnsi="Georgia"/>
          <w:color w:val="1A1A2E"/>
          <w:sz w:val="23"/>
          <w:szCs w:val="23"/>
        </w:rPr>
        <w:t xml:space="preserve">La disolución de la ilusión de separación entre Atman y Brahman. No es un logro espiritual sino el reconocimiento de lo que nunca dejó de ser verdad. El samadhi nirvikalpa describe un estado sin modificaciones mentales — exactamente la firma del silencio interior post-clic donde el diálogo interno cesa porque ya no hay brecha que comentar.</w:t>
      </w:r>
    </w:p>
    <w:p>
      <w:pPr>
        <w:spacing w:before="320" w:after="80"/>
      </w:pPr>
      <w:r>
        <w:rPr>
          <w:rFonts w:ascii="Georgia" w:cs="Georgia" w:eastAsia="Georgia" w:hAnsi="Georgia"/>
          <w:b/>
          <w:bCs/>
          <w:color w:val="1A1A2E"/>
          <w:sz w:val="24"/>
          <w:szCs w:val="24"/>
        </w:rPr>
        <w:t xml:space="preserve">Tradición cristiana — Gracia / Metanoia</w:t>
      </w:r>
    </w:p>
    <w:p>
      <w:pPr>
        <w:spacing w:before="80" w:after="160" w:line="340"/>
        <w:jc w:val="both"/>
      </w:pPr>
      <w:r>
        <w:rPr>
          <w:rFonts w:ascii="Georgia" w:cs="Georgia" w:eastAsia="Georgia" w:hAnsi="Georgia"/>
          <w:color w:val="1A1A2E"/>
          <w:sz w:val="23"/>
          <w:szCs w:val="23"/>
        </w:rPr>
        <w:t xml:space="preserve">La metanoia griega, traducida ordinariamente como arrepentimiento, significa literalmente cambio radical de nous — cambio de la mente profunda, del órgano perceptivo. No es remordimiento moral sino reorganización del aparato cognitivo-simbólico. La gracia como experiencia —no como concepto teológico— describe la cualidad de recibir sin haber ejecutado un esfuerzo proporcional. El clic siempre llega como don porque su timing no es controlable voluntariamente.</w:t>
      </w:r>
    </w:p>
    <w:p>
      <w:pPr>
        <w:spacing w:before="320" w:after="80"/>
      </w:pPr>
      <w:r>
        <w:rPr>
          <w:rFonts w:ascii="Georgia" w:cs="Georgia" w:eastAsia="Georgia" w:hAnsi="Georgia"/>
          <w:b/>
          <w:bCs/>
          <w:color w:val="1A1A2E"/>
          <w:sz w:val="24"/>
          <w:szCs w:val="24"/>
        </w:rPr>
        <w:t xml:space="preserve">Tradición judía — Hitbonenut / la chispa en la Cábala</w:t>
      </w:r>
    </w:p>
    <w:p>
      <w:pPr>
        <w:spacing w:before="80" w:after="160" w:line="340"/>
        <w:jc w:val="both"/>
      </w:pPr>
      <w:r>
        <w:rPr>
          <w:rFonts w:ascii="Georgia" w:cs="Georgia" w:eastAsia="Georgia" w:hAnsi="Georgia"/>
          <w:color w:val="1A1A2E"/>
          <w:sz w:val="23"/>
          <w:szCs w:val="23"/>
        </w:rPr>
        <w:t xml:space="preserve">El hitbonenut es la contemplación profunda que produce un conocimiento que excede al que contempla. En la Cábala luriana, cada alma contiene una chispa divina —nitzotz— que busca ser reconocida y liberada. Cuando lo es, produce un reordenamiento de los klipot: las cáscaras que distorsionan la percepción. El tikkun personal —la reparación del alma— culmina precisamente en ese reconocimiento.</w:t>
      </w:r>
    </w:p>
    <w:p>
      <w:pPr>
        <w:spacing w:before="320" w:after="80"/>
      </w:pPr>
      <w:r>
        <w:rPr>
          <w:rFonts w:ascii="Georgia" w:cs="Georgia" w:eastAsia="Georgia" w:hAnsi="Georgia"/>
          <w:b/>
          <w:bCs/>
          <w:color w:val="1A1A2E"/>
          <w:sz w:val="24"/>
          <w:szCs w:val="24"/>
        </w:rPr>
        <w:t xml:space="preserve">Sufismo islámico — Fana</w:t>
      </w:r>
    </w:p>
    <w:p>
      <w:pPr>
        <w:spacing w:before="80" w:after="160" w:line="340"/>
        <w:jc w:val="both"/>
      </w:pPr>
      <w:r>
        <w:rPr>
          <w:rFonts w:ascii="Georgia" w:cs="Georgia" w:eastAsia="Georgia" w:hAnsi="Georgia"/>
          <w:color w:val="1A1A2E"/>
          <w:sz w:val="23"/>
          <w:szCs w:val="23"/>
        </w:rPr>
        <w:t xml:space="preserve">La aniquilación del yo ilusorio en la presencia divina. No como muerte sino como transparencia — el yo se vuelve tan coherente con la fuente que deja de operar como obstáculo. Rumi describe repetidamente ese estado como el momento en que el amante deja de buscar al amado porque descubre que siempre estuvo buscándose a sí mismo en él.</w:t>
      </w:r>
    </w:p>
    <w:p>
      <w:pPr>
        <w:spacing w:before="320" w:after="80"/>
      </w:pPr>
      <w:r>
        <w:rPr>
          <w:rFonts w:ascii="Georgia" w:cs="Georgia" w:eastAsia="Georgia" w:hAnsi="Georgia"/>
          <w:b/>
          <w:bCs/>
          <w:color w:val="1A1A2E"/>
          <w:sz w:val="24"/>
          <w:szCs w:val="24"/>
        </w:rPr>
        <w:t xml:space="preserve">Tradiciones chamánicas y psicodélicas</w:t>
      </w:r>
    </w:p>
    <w:p>
      <w:pPr>
        <w:spacing w:before="80" w:after="160" w:line="340"/>
        <w:jc w:val="both"/>
      </w:pPr>
      <w:r>
        <w:rPr>
          <w:rFonts w:ascii="Georgia" w:cs="Georgia" w:eastAsia="Georgia" w:hAnsi="Georgia"/>
          <w:color w:val="1A1A2E"/>
          <w:sz w:val="23"/>
          <w:szCs w:val="23"/>
        </w:rPr>
        <w:t xml:space="preserve">Aquí el clic es forzado farmacológicamente, pero el umbral que se cruza es el mismo. La sustancia colapsa temporalmente los filtros perceptivos que el sistema usa para mantener coherente la narrativa del yo. En ese espacio sin filtros, la integración que ocurría en capas profundas emerge completa, sin ser interceptada por el censor narrativo. El clic psicodélico no crea la coherencia — la revela antes de que el proceso orgánico la hubiera completado naturalmente.</w:t>
      </w:r>
    </w:p>
    <w:p>
      <w:pPr>
        <w:spacing w:before="320" w:after="80"/>
      </w:pPr>
      <w:r>
        <w:rPr>
          <w:rFonts w:ascii="Georgia" w:cs="Georgia" w:eastAsia="Georgia" w:hAnsi="Georgia"/>
          <w:b/>
          <w:bCs/>
          <w:color w:val="1A1A2E"/>
          <w:sz w:val="24"/>
          <w:szCs w:val="24"/>
        </w:rPr>
        <w:t xml:space="preserve">Hermetismo — Gnosis</w:t>
      </w:r>
    </w:p>
    <w:p>
      <w:pPr>
        <w:spacing w:before="80" w:after="160" w:line="340"/>
        <w:jc w:val="both"/>
      </w:pPr>
      <w:r>
        <w:rPr>
          <w:rFonts w:ascii="Georgia" w:cs="Georgia" w:eastAsia="Georgia" w:hAnsi="Georgia"/>
          <w:color w:val="1A1A2E"/>
          <w:sz w:val="23"/>
          <w:szCs w:val="23"/>
        </w:rPr>
        <w:t xml:space="preserve">El conocimiento directo, no mediado por razonamiento ni autoridad. El Corpus Hermeticum lo describe como el momento en que el nous —la mente profunda— se reconoce a sí mismo como participación en la mente universal. No es información recibida desde afuera: es auto-reconocimiento del sistema en su propia naturaleza.</w:t>
      </w:r>
    </w:p>
    <w:p>
      <w:pPr>
        <w:spacing w:before="320" w:after="320"/>
        <w:jc w:val="center"/>
      </w:pPr>
      <w:r>
        <w:rPr>
          <w:rFonts w:ascii="Georgia" w:cs="Georgia" w:eastAsia="Georgia" w:hAnsi="Georgia"/>
          <w:color w:val="C9A84C"/>
          <w:sz w:val="22"/>
          <w:szCs w:val="22"/>
        </w:rPr>
        <w:t xml:space="preserve">— ✦ —</w:t>
      </w:r>
    </w:p>
    <w:p>
      <w:pPr>
        <w:pBdr>
          <w:bottom w:val="single" w:color="C9A84C" w:sz="4" w:space="8"/>
        </w:pBdr>
        <w:spacing w:before="520" w:after="280"/>
        <w:jc w:val="center"/>
      </w:pPr>
      <w:r>
        <w:rPr>
          <w:rFonts w:ascii="Georgia" w:cs="Georgia" w:eastAsia="Georgia" w:hAnsi="Georgia"/>
          <w:b/>
          <w:bCs/>
          <w:color w:val="1A1A2E"/>
          <w:spacing w:val="120"/>
          <w:sz w:val="28"/>
          <w:szCs w:val="28"/>
        </w:rPr>
        <w:t xml:space="preserve">V. LA CONVERGENCIA</w:t>
      </w:r>
    </w:p>
    <w:p>
      <w:pPr>
        <w:spacing w:before="120" w:after="120" w:line="360"/>
        <w:jc w:val="both"/>
      </w:pPr>
      <w:r>
        <w:rPr>
          <w:rFonts w:ascii="Georgia" w:cs="Georgia" w:eastAsia="Georgia" w:hAnsi="Georgia"/>
          <w:i w:val="false"/>
          <w:iCs w:val="false"/>
          <w:color w:val="1A1A2E"/>
          <w:sz w:val="23"/>
          <w:szCs w:val="23"/>
        </w:rPr>
        <w:t xml:space="preserve">Lo que todas estas tradiciones nombraron de formas distintas, con cosmologías distintas, en culturas sin contacto entre sí, es el mismo evento fisiológico-simbólico:</w:t>
      </w:r>
    </w:p>
    <w:p>
      <w:pPr>
        <w:pBdr>
          <w:left w:val="thick" w:color="C9A84C" w:sz="12" w:space="12"/>
        </w:pBdr>
        <w:spacing w:before="280" w:after="280"/>
        <w:ind w:left="480" w:right="480"/>
        <w:jc w:val="center"/>
      </w:pPr>
      <w:r>
        <w:rPr>
          <w:rFonts w:ascii="Georgia" w:cs="Georgia" w:eastAsia="Georgia" w:hAnsi="Georgia"/>
          <w:i/>
          <w:iCs/>
          <w:color w:val="1A1A2E"/>
          <w:sz w:val="23"/>
          <w:szCs w:val="23"/>
        </w:rPr>
        <w:t xml:space="preserve">El momento en que la coherencia interna acumulada supera el umbral de visibilidad y el organismo se reconoce a sí mismo desde una capa más profunda que la que operaba como yo hasta ese instante.</w:t>
      </w:r>
    </w:p>
    <w:p>
      <w:pPr>
        <w:spacing w:before="120" w:after="120" w:line="360"/>
        <w:jc w:val="both"/>
      </w:pPr>
      <w:r>
        <w:rPr>
          <w:rFonts w:ascii="Georgia" w:cs="Georgia" w:eastAsia="Georgia" w:hAnsi="Georgia"/>
          <w:i w:val="false"/>
          <w:iCs w:val="false"/>
          <w:color w:val="1A1A2E"/>
          <w:sz w:val="23"/>
          <w:szCs w:val="23"/>
        </w:rPr>
        <w:t xml:space="preserve">El clic es universal porque el mecanismo es universal. Las tradiciones no inventaron el evento — lo encontraron, lo nombraron, y construyeron sistemas enteros para crear las condiciones en que pudiera ocurrir.</w:t>
      </w:r>
    </w:p>
    <w:p>
      <w:pPr>
        <w:spacing w:before="120" w:after="120" w:line="360"/>
        <w:jc w:val="both"/>
      </w:pPr>
      <w:r>
        <w:rPr>
          <w:rFonts w:ascii="Georgia" w:cs="Georgia" w:eastAsia="Georgia" w:hAnsi="Georgia"/>
          <w:i w:val="false"/>
          <w:iCs w:val="false"/>
          <w:color w:val="1A1A2E"/>
          <w:sz w:val="23"/>
          <w:szCs w:val="23"/>
        </w:rPr>
        <w:t xml:space="preserve">La Metaconciencia Evolutiva describe el mecanismo debajo del nombre.</w:t>
      </w:r>
    </w:p>
    <w:p>
      <w:pPr>
        <w:spacing w:before="320" w:after="320"/>
        <w:jc w:val="center"/>
      </w:pPr>
      <w:r>
        <w:rPr>
          <w:rFonts w:ascii="Georgia" w:cs="Georgia" w:eastAsia="Georgia" w:hAnsi="Georgia"/>
          <w:color w:val="C9A84C"/>
          <w:sz w:val="22"/>
          <w:szCs w:val="22"/>
        </w:rPr>
        <w:t xml:space="preserve">— ✦ —</w:t>
      </w:r>
    </w:p>
    <w:sectPr>
      <w:headerReference w:type="default" r:id="rId6"/>
      <w:footerReference w:type="default" r:id="rId7"/>
      <w:pgSz w:w="12240" w:h="15840"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6"/>
      </w:pBdr>
      <w:spacing w:before="120"/>
      <w:jc w:val="center"/>
    </w:pPr>
    <w:r>
      <w:rPr>
        <w:rFonts w:ascii="Georgia" w:cs="Georgia" w:eastAsia="Georgia" w:hAnsi="Georgia"/>
        <w:color w:val="8B7D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6"/>
      </w:pBdr>
      <w:spacing w:after="0"/>
      <w:jc w:val="center"/>
    </w:pPr>
    <w:r>
      <w:rPr>
        <w:rFonts w:ascii="Georgia" w:cs="Georgia" w:eastAsia="Georgia" w:hAnsi="Georgia"/>
        <w:color w:val="8B7D6B"/>
        <w:spacing w:val="80"/>
        <w:sz w:val="16"/>
        <w:szCs w:val="16"/>
      </w:rPr>
      <w:t xml:space="preserve">GRIMORIO — DOCTRINA DE LA PLENITUD SISTÉMICA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2026-03-14T18:40:49.992Z</dcterms:created>
  <dcterms:modified xsi:type="dcterms:W3CDTF">2026-03-14T18:40:49.993Z</dcterms:modified>
</cp:coreProperties>
</file>

<file path=docProps/custom.xml><?xml version="1.0" encoding="utf-8"?>
<Properties xmlns="http://schemas.openxmlformats.org/officeDocument/2006/custom-properties" xmlns:vt="http://schemas.openxmlformats.org/officeDocument/2006/docPropsVTypes"/>
</file>