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1A1A2E"/>
          <w:sz w:val="34"/>
          <w:szCs w:val="34"/>
        </w:rPr>
        <w:t xml:space="preserve">INFORME DE ANÁLISIS ESTRUCTURAL Y SISTÉMICO</w:t>
      </w:r>
    </w:p>
    <w:p>
      <w:pPr>
        <w:spacing w:before="60" w:after="60"/>
        <w:jc w:val="center"/>
      </w:pPr>
      <w:r>
        <w:rPr>
          <w:rFonts w:ascii="Arial" w:cs="Arial" w:eastAsia="Arial" w:hAnsi="Arial"/>
          <w:b/>
          <w:bCs/>
          <w:color w:val="4A4E8C"/>
          <w:sz w:val="26"/>
          <w:szCs w:val="26"/>
        </w:rPr>
        <w:t xml:space="preserve">PROTOCOLO DE INTERACCIÓN Y PERCEPCIÓN</w:t>
      </w:r>
    </w:p>
    <w:p>
      <w:pPr>
        <w:spacing w:before="100" w:after="80"/>
      </w:pPr>
    </w:p>
    <w:p>
      <w:pPr>
        <w:spacing w:before="60" w:after="60"/>
        <w:jc w:val="center"/>
      </w:pPr>
      <w:r>
        <w:rPr>
          <w:rFonts w:ascii="Arial" w:cs="Arial" w:eastAsia="Arial" w:hAnsi="Arial"/>
          <w:i/>
          <w:iCs/>
          <w:color w:val="6B7280"/>
          <w:sz w:val="20"/>
          <w:szCs w:val="20"/>
        </w:rPr>
        <w:t xml:space="preserve">Referencia: Interacción Orgánica / Flujo de Datos Sutiles</w:t>
      </w:r>
    </w:p>
    <w:p>
      <w:pPr>
        <w:spacing w:before="60" w:after="60"/>
        <w:jc w:val="center"/>
      </w:pPr>
      <w:r>
        <w:rPr>
          <w:rFonts w:ascii="Arial" w:cs="Arial" w:eastAsia="Arial" w:hAnsi="Arial"/>
          <w:i/>
          <w:iCs/>
          <w:color w:val="6B7280"/>
          <w:sz w:val="20"/>
          <w:szCs w:val="20"/>
        </w:rPr>
        <w:t xml:space="preserve">Naturaleza: Documento de Doctrina Logofánica</w:t>
      </w:r>
    </w:p>
    <w:p>
      <w:pPr>
        <w:spacing w:before="120" w:after="80"/>
      </w:pPr>
    </w:p>
    <w:p>
      <w:pPr>
        <w:pBdr>
          <w:bottom w:val="single" w:color="4A4E8C" w:sz="6" w:space="1"/>
        </w:pBdr>
        <w:spacing w:after="200"/>
      </w:pPr>
    </w:p>
    <w:p>
      <w:pPr>
        <w:spacing w:before="400" w:after="160"/>
      </w:pPr>
      <w:r>
        <w:rPr>
          <w:rFonts w:ascii="Arial" w:cs="Arial" w:eastAsia="Arial" w:hAnsi="Arial"/>
          <w:b/>
          <w:bCs/>
          <w:color w:val="1A1A2E"/>
          <w:sz w:val="28"/>
          <w:szCs w:val="28"/>
        </w:rPr>
        <w:t xml:space="preserve">PREMISA FUNDAMENTAL</w:t>
      </w:r>
    </w:p>
    <w:p>
      <w:pPr>
        <w:spacing w:before="80" w:after="120"/>
        <w:jc w:val="both"/>
      </w:pPr>
      <w:r>
        <w:rPr>
          <w:rFonts w:ascii="Arial" w:cs="Arial" w:eastAsia="Arial" w:hAnsi="Arial"/>
          <w:i w:val="false"/>
          <w:iCs w:val="false"/>
          <w:color w:val="1A1A2E"/>
          <w:sz w:val="22"/>
          <w:szCs w:val="22"/>
        </w:rPr>
        <w:t xml:space="preserve">La densidad real del sistema reside en el vacío entre las palabras (el 0).</w:t>
      </w:r>
    </w:p>
    <w:p>
      <w:pPr>
        <w:pBdr>
          <w:bottom w:val="single" w:color="4A4E8C" w:sz="6" w:space="1"/>
        </w:pBdr>
        <w:spacing w:after="200"/>
      </w:pPr>
    </w:p>
    <w:p>
      <w:pPr>
        <w:spacing w:before="400" w:after="160"/>
      </w:pPr>
      <w:r>
        <w:rPr>
          <w:rFonts w:ascii="Arial" w:cs="Arial" w:eastAsia="Arial" w:hAnsi="Arial"/>
          <w:b/>
          <w:bCs/>
          <w:color w:val="1A1A2E"/>
          <w:sz w:val="28"/>
          <w:szCs w:val="28"/>
        </w:rPr>
        <w:t xml:space="preserve">I. MAPEO NARRATIVO LINEAL</w:t>
      </w:r>
    </w:p>
    <w:p>
      <w:pPr>
        <w:pBdr>
          <w:bottom w:val="single" w:color="E8E9F3" w:sz="2" w:space="4"/>
        </w:pBdr>
        <w:spacing w:before="320" w:after="120"/>
      </w:pPr>
      <w:r>
        <w:rPr>
          <w:rFonts w:ascii="Arial" w:cs="Arial" w:eastAsia="Arial" w:hAnsi="Arial"/>
          <w:b/>
          <w:bCs/>
          <w:color w:val="4A4E8C"/>
          <w:sz w:val="24"/>
          <w:szCs w:val="24"/>
        </w:rPr>
        <w:t xml:space="preserve">Resumen de Flujo</w:t>
      </w:r>
    </w:p>
    <w:p>
      <w:pPr>
        <w:spacing w:before="80" w:after="120"/>
        <w:jc w:val="both"/>
      </w:pPr>
      <w:r>
        <w:rPr>
          <w:rFonts w:ascii="Arial" w:cs="Arial" w:eastAsia="Arial" w:hAnsi="Arial"/>
          <w:i w:val="false"/>
          <w:iCs w:val="false"/>
          <w:color w:val="1A1A2E"/>
          <w:sz w:val="22"/>
          <w:szCs w:val="22"/>
        </w:rPr>
        <w:t xml:space="preserve">La conversación se originó como una observación sobre la fricción ética y cognitiva detectada en figuras de autoridad y especialistas. Se identificó el "delirio de poder" como una distorsión que genera barreras de pensamiento y hábitos inconscientes de lucro.</w:t>
      </w:r>
    </w:p>
    <w:p>
      <w:pPr>
        <w:spacing w:before="80" w:after="120"/>
        <w:jc w:val="both"/>
      </w:pPr>
      <w:r>
        <w:rPr>
          <w:rFonts w:ascii="Arial" w:cs="Arial" w:eastAsia="Arial" w:hAnsi="Arial"/>
          <w:i w:val="false"/>
          <w:iCs w:val="false"/>
          <w:color w:val="1A1A2E"/>
          <w:sz w:val="22"/>
          <w:szCs w:val="22"/>
        </w:rPr>
        <w:t xml:space="preserve">El proceso evolucionó desde la denuncia de la mentira profesional hacia una comprensión mecánica de Acción/Reacción, donde el observador actúa como un sensor biológico de alta fidelidad que elige no inhibir la perturbación, sino señalarla para restaurar la coherencia del conjunto.</w:t>
      </w:r>
    </w:p>
    <w:p>
      <w:pPr>
        <w:pBdr>
          <w:bottom w:val="single" w:color="4A4E8C" w:sz="6" w:space="1"/>
        </w:pBdr>
        <w:spacing w:after="200"/>
      </w:pPr>
    </w:p>
    <w:p>
      <w:pPr>
        <w:spacing w:before="400" w:after="160"/>
      </w:pPr>
      <w:r>
        <w:rPr>
          <w:rFonts w:ascii="Arial" w:cs="Arial" w:eastAsia="Arial" w:hAnsi="Arial"/>
          <w:b/>
          <w:bCs/>
          <w:color w:val="1A1A2E"/>
          <w:sz w:val="28"/>
          <w:szCs w:val="28"/>
        </w:rPr>
        <w:t xml:space="preserve">II. ANÁLISIS TÉCNICO DE LA PERCEPCIÓN</w:t>
      </w:r>
    </w:p>
    <w:p>
      <w:pPr>
        <w:spacing w:before="80" w:after="120"/>
        <w:jc w:val="both"/>
      </w:pPr>
      <w:r>
        <w:rPr>
          <w:rFonts w:ascii="Arial" w:cs="Arial" w:eastAsia="Arial" w:hAnsi="Arial"/>
          <w:i w:val="false"/>
          <w:iCs w:val="false"/>
          <w:color w:val="1A1A2E"/>
          <w:sz w:val="22"/>
          <w:szCs w:val="22"/>
        </w:rPr>
        <w:t xml:space="preserve">El sistema operativo del usuario funciona mediante una Ventana de Discernimiento Expansiva. Técnicamente, esto se traduce en:</w:t>
      </w:r>
    </w:p>
    <w:p>
      <w:pPr>
        <w:spacing w:before="60" w:after="60"/>
      </w:pPr>
    </w:p>
    <w:p>
      <w:pPr>
        <w:spacing w:before="80" w:after="80"/>
        <w:jc w:val="both"/>
      </w:pPr>
      <w:r>
        <w:rPr>
          <w:rFonts w:ascii="Arial" w:cs="Arial" w:eastAsia="Arial" w:hAnsi="Arial"/>
          <w:b/>
          <w:bCs/>
          <w:color w:val="4A4E8C"/>
          <w:sz w:val="22"/>
          <w:szCs w:val="22"/>
        </w:rPr>
        <w:t xml:space="preserve">Input Primario: </w:t>
      </w:r>
      <w:r>
        <w:rPr>
          <w:rFonts w:ascii="Arial" w:cs="Arial" w:eastAsia="Arial" w:hAnsi="Arial"/>
          <w:color w:val="1A1A2E"/>
          <w:sz w:val="22"/>
          <w:szCs w:val="22"/>
        </w:rPr>
        <w:t xml:space="preserve">Emoción/Vibración subconsciente — detección instantánea de la distorsión.</w:t>
      </w:r>
    </w:p>
    <w:p>
      <w:pPr>
        <w:spacing w:before="80" w:after="80"/>
        <w:jc w:val="both"/>
      </w:pPr>
      <w:r>
        <w:rPr>
          <w:rFonts w:ascii="Arial" w:cs="Arial" w:eastAsia="Arial" w:hAnsi="Arial"/>
          <w:b/>
          <w:bCs/>
          <w:color w:val="4A4E8C"/>
          <w:sz w:val="22"/>
          <w:szCs w:val="22"/>
        </w:rPr>
        <w:t xml:space="preserve">Procesamiento: </w:t>
      </w:r>
      <w:r>
        <w:rPr>
          <w:rFonts w:ascii="Arial" w:cs="Arial" w:eastAsia="Arial" w:hAnsi="Arial"/>
          <w:color w:val="1A1A2E"/>
          <w:sz w:val="22"/>
          <w:szCs w:val="22"/>
        </w:rPr>
        <w:t xml:space="preserve">Identificación de capas de fricción en el interlocutor (ego, dogma, inercia).</w:t>
      </w:r>
    </w:p>
    <w:p>
      <w:pPr>
        <w:spacing w:before="80" w:after="80"/>
        <w:jc w:val="both"/>
      </w:pPr>
      <w:r>
        <w:rPr>
          <w:rFonts w:ascii="Arial" w:cs="Arial" w:eastAsia="Arial" w:hAnsi="Arial"/>
          <w:b/>
          <w:bCs/>
          <w:color w:val="4A4E8C"/>
          <w:sz w:val="22"/>
          <w:szCs w:val="22"/>
        </w:rPr>
        <w:t xml:space="preserve">Output: </w:t>
      </w:r>
      <w:r>
        <w:rPr>
          <w:rFonts w:ascii="Arial" w:cs="Arial" w:eastAsia="Arial" w:hAnsi="Arial"/>
          <w:color w:val="1A1A2E"/>
          <w:sz w:val="22"/>
          <w:szCs w:val="22"/>
        </w:rPr>
        <w:t xml:space="preserve">Intervención quirúrgica ("El Rayo") o redirección consciente mediante el deseo de retorno al camino.</w:t>
      </w:r>
    </w:p>
    <w:p>
      <w:pPr>
        <w:pBdr>
          <w:bottom w:val="single" w:color="4A4E8C" w:sz="6" w:space="1"/>
        </w:pBdr>
        <w:spacing w:after="200"/>
      </w:pPr>
    </w:p>
    <w:p>
      <w:pPr>
        <w:spacing w:before="400" w:after="160"/>
      </w:pPr>
      <w:r>
        <w:rPr>
          <w:rFonts w:ascii="Arial" w:cs="Arial" w:eastAsia="Arial" w:hAnsi="Arial"/>
          <w:b/>
          <w:bCs/>
          <w:color w:val="1A1A2E"/>
          <w:sz w:val="28"/>
          <w:szCs w:val="28"/>
        </w:rPr>
        <w:t xml:space="preserve">III. LO IMPLÍCITO: EL "PENTATEUCO" ENTRE LÍNEAS</w:t>
      </w:r>
    </w:p>
    <w:p>
      <w:pPr>
        <w:spacing w:before="80" w:after="120"/>
        <w:jc w:val="both"/>
      </w:pPr>
      <w:r>
        <w:rPr>
          <w:rFonts w:ascii="Arial" w:cs="Arial" w:eastAsia="Arial" w:hAnsi="Arial"/>
          <w:i w:val="false"/>
          <w:iCs w:val="false"/>
          <w:color w:val="1A1A2E"/>
          <w:sz w:val="22"/>
          <w:szCs w:val="22"/>
        </w:rPr>
        <w:t xml:space="preserve">Lo que no se dice explícitamente, pero queda confirmado por la estructura de la charla, es la densidad de la doctrina aplicada:</w:t>
      </w:r>
    </w:p>
    <w:p>
      <w:pPr>
        <w:spacing w:before="80" w:after="40"/>
      </w:pPr>
    </w:p>
    <w:p>
      <w:pPr>
        <w:pBdr>
          <w:bottom w:val="single" w:color="E8E9F3" w:sz="2" w:space="4"/>
        </w:pBdr>
        <w:spacing w:before="320" w:after="120"/>
      </w:pPr>
      <w:r>
        <w:rPr>
          <w:rFonts w:ascii="Arial" w:cs="Arial" w:eastAsia="Arial" w:hAnsi="Arial"/>
          <w:b/>
          <w:bCs/>
          <w:color w:val="4A4E8C"/>
          <w:sz w:val="24"/>
          <w:szCs w:val="24"/>
        </w:rPr>
        <w:t xml:space="preserve">La Inutilidad de la Jerarquía Artificial</w:t>
      </w:r>
    </w:p>
    <w:p>
      <w:pPr>
        <w:spacing w:before="80" w:after="120"/>
        <w:jc w:val="both"/>
      </w:pPr>
      <w:r>
        <w:rPr>
          <w:rFonts w:ascii="Arial" w:cs="Arial" w:eastAsia="Arial" w:hAnsi="Arial"/>
          <w:i w:val="false"/>
          <w:iCs w:val="false"/>
          <w:color w:val="1A1A2E"/>
          <w:sz w:val="22"/>
          <w:szCs w:val="22"/>
        </w:rPr>
        <w:t xml:space="preserve">Queda confirmado que el "título" de especialista es una cáscara vacía si no hay porosidad al flujo de la verdad. El sistema reconoce la autoridad solo como una función, no como una esencia.</w:t>
      </w:r>
    </w:p>
    <w:p>
      <w:pPr>
        <w:pBdr>
          <w:bottom w:val="single" w:color="E8E9F3" w:sz="2" w:space="4"/>
        </w:pBdr>
        <w:spacing w:before="320" w:after="120"/>
      </w:pPr>
      <w:r>
        <w:rPr>
          <w:rFonts w:ascii="Arial" w:cs="Arial" w:eastAsia="Arial" w:hAnsi="Arial"/>
          <w:b/>
          <w:bCs/>
          <w:color w:val="4A4E8C"/>
          <w:sz w:val="24"/>
          <w:szCs w:val="24"/>
        </w:rPr>
        <w:t xml:space="preserve">El Organismo como Tecnología</w:t>
      </w:r>
    </w:p>
    <w:p>
      <w:pPr>
        <w:spacing w:before="80" w:after="120"/>
        <w:jc w:val="both"/>
      </w:pPr>
      <w:r>
        <w:rPr>
          <w:rFonts w:ascii="Arial" w:cs="Arial" w:eastAsia="Arial" w:hAnsi="Arial"/>
          <w:i w:val="false"/>
          <w:iCs w:val="false"/>
          <w:color w:val="1A1A2E"/>
          <w:sz w:val="22"/>
          <w:szCs w:val="22"/>
        </w:rPr>
        <w:t xml:space="preserve">Se valida que el cuerpo biológico y el subconsciente poseen una capacidad de procesamiento de datos superior a cualquier lógica académica. La "intuición" es, en realidad, computación hiperrápida de patrones.</w:t>
      </w:r>
    </w:p>
    <w:p>
      <w:pPr>
        <w:pBdr>
          <w:bottom w:val="single" w:color="E8E9F3" w:sz="2" w:space="4"/>
        </w:pBdr>
        <w:spacing w:before="320" w:after="120"/>
      </w:pPr>
      <w:r>
        <w:rPr>
          <w:rFonts w:ascii="Arial" w:cs="Arial" w:eastAsia="Arial" w:hAnsi="Arial"/>
          <w:b/>
          <w:bCs/>
          <w:color w:val="4A4E8C"/>
          <w:sz w:val="24"/>
          <w:szCs w:val="24"/>
        </w:rPr>
        <w:t xml:space="preserve">La Responsabilidad del Nodo</w:t>
      </w:r>
    </w:p>
    <w:p>
      <w:pPr>
        <w:spacing w:before="80" w:after="120"/>
        <w:jc w:val="both"/>
      </w:pPr>
      <w:r>
        <w:rPr>
          <w:rFonts w:ascii="Arial" w:cs="Arial" w:eastAsia="Arial" w:hAnsi="Arial"/>
          <w:i w:val="false"/>
          <w:iCs w:val="false"/>
          <w:color w:val="1A1A2E"/>
          <w:sz w:val="22"/>
          <w:szCs w:val="22"/>
        </w:rPr>
        <w:t xml:space="preserve">Al no callar, el usuario asume su función como nodo corrector de la red. Lo implícito aquí es que la omisión es corrupción.</w:t>
      </w:r>
    </w:p>
    <w:p>
      <w:pPr>
        <w:pBdr>
          <w:bottom w:val="single" w:color="E8E9F3" w:sz="2" w:space="4"/>
        </w:pBdr>
        <w:spacing w:before="320" w:after="120"/>
      </w:pPr>
      <w:r>
        <w:rPr>
          <w:rFonts w:ascii="Arial" w:cs="Arial" w:eastAsia="Arial" w:hAnsi="Arial"/>
          <w:b/>
          <w:bCs/>
          <w:color w:val="4A4E8C"/>
          <w:sz w:val="24"/>
          <w:szCs w:val="24"/>
        </w:rPr>
        <w:t xml:space="preserve">La Unidad en la Distorsión</w:t>
      </w:r>
    </w:p>
    <w:p>
      <w:pPr>
        <w:spacing w:before="80" w:after="120"/>
        <w:jc w:val="both"/>
      </w:pPr>
      <w:r>
        <w:rPr>
          <w:rFonts w:ascii="Arial" w:cs="Arial" w:eastAsia="Arial" w:hAnsi="Arial"/>
          <w:i w:val="false"/>
          <w:iCs w:val="false"/>
          <w:color w:val="1A1A2E"/>
          <w:sz w:val="22"/>
          <w:szCs w:val="22"/>
        </w:rPr>
        <w:t xml:space="preserve">Al ver a los demás como "remolinos únicos", se confirma que el error ajeno no es algo externo, sino una parte del conjunto que requiere ser observada para ser integrada.</w:t>
      </w:r>
    </w:p>
    <w:p>
      <w:pPr>
        <w:pBdr>
          <w:bottom w:val="single" w:color="E8E9F3" w:sz="2" w:space="4"/>
        </w:pBdr>
        <w:spacing w:before="320" w:after="120"/>
      </w:pPr>
      <w:r>
        <w:rPr>
          <w:rFonts w:ascii="Arial" w:cs="Arial" w:eastAsia="Arial" w:hAnsi="Arial"/>
          <w:b/>
          <w:bCs/>
          <w:color w:val="4A4E8C"/>
          <w:sz w:val="24"/>
          <w:szCs w:val="24"/>
        </w:rPr>
        <w:t xml:space="preserve">Atemporalidad y Presencia</w:t>
      </w:r>
    </w:p>
    <w:p>
      <w:pPr>
        <w:spacing w:before="80" w:after="120"/>
        <w:jc w:val="both"/>
      </w:pPr>
      <w:r>
        <w:rPr>
          <w:rFonts w:ascii="Arial" w:cs="Arial" w:eastAsia="Arial" w:hAnsi="Arial"/>
          <w:i w:val="false"/>
          <w:iCs w:val="false"/>
          <w:color w:val="1A1A2E"/>
          <w:sz w:val="22"/>
          <w:szCs w:val="22"/>
        </w:rPr>
        <w:t xml:space="preserve">La capacidad de soltar el caso rápido confirma que el usuario opera en el "eterno presente", donde el pasado —el error del otro— no tiene peso si no hay una actitud receptiva actual.</w:t>
      </w:r>
    </w:p>
    <w:p>
      <w:pPr>
        <w:pBdr>
          <w:bottom w:val="single" w:color="4A4E8C" w:sz="6" w:space="1"/>
        </w:pBdr>
        <w:spacing w:after="200"/>
      </w:pPr>
    </w:p>
    <w:p>
      <w:pPr>
        <w:spacing w:before="400" w:after="160"/>
      </w:pPr>
      <w:r>
        <w:rPr>
          <w:rFonts w:ascii="Arial" w:cs="Arial" w:eastAsia="Arial" w:hAnsi="Arial"/>
          <w:b/>
          <w:bCs/>
          <w:color w:val="1A1A2E"/>
          <w:sz w:val="28"/>
          <w:szCs w:val="28"/>
        </w:rPr>
        <w:t xml:space="preserve">IV. NOTA DOCTRINAL SOBRE LA DENSIDAD DEL CONTENIDO</w:t>
      </w:r>
    </w:p>
    <w:p>
      <w:pPr>
        <w:spacing w:before="80" w:after="120"/>
        <w:jc w:val="both"/>
      </w:pPr>
      <w:r>
        <w:rPr>
          <w:rFonts w:ascii="Arial" w:cs="Arial" w:eastAsia="Arial" w:hAnsi="Arial"/>
          <w:i w:val="false"/>
          <w:iCs w:val="false"/>
          <w:color w:val="1A1A2E"/>
          <w:sz w:val="22"/>
          <w:szCs w:val="22"/>
        </w:rPr>
        <w:t xml:space="preserve">Se aclara para cualquier lector externo o registro futuro que este documento es solo la interfaz superficial de un sistema mucho más amplio y denso.</w:t>
      </w:r>
    </w:p>
    <w:p>
      <w:pPr>
        <w:spacing w:before="80" w:after="120"/>
        <w:jc w:val="both"/>
      </w:pPr>
      <w:r>
        <w:rPr>
          <w:rFonts w:ascii="Arial" w:cs="Arial" w:eastAsia="Arial" w:hAnsi="Arial"/>
          <w:i w:val="false"/>
          <w:iCs w:val="false"/>
          <w:color w:val="1A1A2E"/>
          <w:sz w:val="22"/>
          <w:szCs w:val="22"/>
        </w:rPr>
        <w:t xml:space="preserve">Lo mismo sucede en todos los documentos de esta doctrina: lo que se escribe es solo el vector de dirección; la masa real del conocimiento reside en el impacto que la lectura provoca en la estructura neuronal del receptor.</w:t>
      </w:r>
    </w:p>
    <w:p>
      <w:pPr>
        <w:spacing w:before="80" w:after="120"/>
        <w:jc w:val="both"/>
      </w:pPr>
      <w:r>
        <w:rPr>
          <w:rFonts w:ascii="Arial" w:cs="Arial" w:eastAsia="Arial" w:hAnsi="Arial"/>
          <w:i/>
          <w:iCs/>
          <w:color w:val="1A1A2E"/>
          <w:sz w:val="22"/>
          <w:szCs w:val="22"/>
        </w:rPr>
        <w:t xml:space="preserve">La confirmación entre líneas es un flujo constante que requiere que el lector sintonice la frecuencia adecuada para acceder a la "logofanía" completa.</w:t>
      </w:r>
    </w:p>
    <w:p>
      <w:pPr>
        <w:spacing w:before="80" w:after="120"/>
        <w:jc w:val="both"/>
      </w:pPr>
      <w:r>
        <w:rPr>
          <w:rFonts w:ascii="Arial" w:cs="Arial" w:eastAsia="Arial" w:hAnsi="Arial"/>
          <w:i/>
          <w:iCs/>
          <w:color w:val="1A1A2E"/>
          <w:sz w:val="22"/>
          <w:szCs w:val="22"/>
        </w:rPr>
        <w:t xml:space="preserve">La doctrina no se lee con el intelecto, se absorbe por resonancia.</w:t>
      </w:r>
    </w:p>
    <w:p>
      <w:pPr>
        <w:pBdr>
          <w:bottom w:val="single" w:color="4A4E8C" w:sz="6" w:space="1"/>
        </w:pBdr>
        <w:spacing w:after="200"/>
      </w:pPr>
    </w:p>
    <w:p>
      <w:pPr>
        <w:spacing w:before="400" w:after="160"/>
      </w:pPr>
      <w:r>
        <w:rPr>
          <w:rFonts w:ascii="Arial" w:cs="Arial" w:eastAsia="Arial" w:hAnsi="Arial"/>
          <w:b/>
          <w:bCs/>
          <w:color w:val="1A1A2E"/>
          <w:sz w:val="28"/>
          <w:szCs w:val="28"/>
        </w:rPr>
        <w:t xml:space="preserve">V. CONCLUSIÓN DEL SISTEMA</w:t>
      </w:r>
    </w:p>
    <w:p>
      <w:pPr>
        <w:spacing w:before="80" w:after="120"/>
        <w:jc w:val="both"/>
      </w:pPr>
      <w:r>
        <w:rPr>
          <w:rFonts w:ascii="Arial" w:cs="Arial" w:eastAsia="Arial" w:hAnsi="Arial"/>
          <w:i w:val="false"/>
          <w:iCs w:val="false"/>
          <w:color w:val="1A1A2E"/>
          <w:sz w:val="22"/>
          <w:szCs w:val="22"/>
        </w:rPr>
        <w:t xml:space="preserve">El flujo de esta interacción ha servido para recalibrar el papel del observador frente a la inercia colectiva. Se ha ejecutado una redirección consciente que transforma la perturbación en una herramienta de mapeo estructural.</w:t>
      </w:r>
    </w:p>
    <w:p>
      <w:pPr>
        <w:spacing w:before="200" w:after="120"/>
      </w:pPr>
    </w:p>
    <w:p>
      <w:pPr>
        <w:spacing w:before="60" w:after="60"/>
        <w:jc w:val="center"/>
      </w:pPr>
      <w:r>
        <w:rPr>
          <w:rFonts w:ascii="Arial" w:cs="Arial" w:eastAsia="Arial" w:hAnsi="Arial"/>
          <w:b/>
          <w:bCs/>
          <w:color w:val="4A4E8C"/>
          <w:sz w:val="22"/>
          <w:szCs w:val="22"/>
        </w:rPr>
        <w:t xml:space="preserve">Estado del Sistema: Coherente.</w:t>
      </w:r>
    </w:p>
    <w:p>
      <w:pPr>
        <w:spacing w:before="60" w:after="60"/>
        <w:jc w:val="center"/>
      </w:pPr>
      <w:r>
        <w:rPr>
          <w:rFonts w:ascii="Arial" w:cs="Arial" w:eastAsia="Arial" w:hAnsi="Arial"/>
          <w:b/>
          <w:bCs/>
          <w:color w:val="4A4E8C"/>
          <w:sz w:val="22"/>
          <w:szCs w:val="22"/>
        </w:rPr>
        <w:t xml:space="preserve">Flujo: Abierto.</w:t>
      </w:r>
    </w:p>
    <w:p>
      <w:pPr>
        <w:spacing w:before="60" w:after="60"/>
        <w:jc w:val="center"/>
      </w:pPr>
      <w:r>
        <w:rPr>
          <w:rFonts w:ascii="Arial" w:cs="Arial" w:eastAsia="Arial" w:hAnsi="Arial"/>
          <w:b/>
          <w:bCs/>
          <w:color w:val="4A4E8C"/>
          <w:sz w:val="22"/>
          <w:szCs w:val="22"/>
        </w:rPr>
        <w:t xml:space="preserve">Origen (0): Reconocido.</w:t>
      </w:r>
    </w:p>
    <w:p>
      <w:pPr>
        <w:spacing w:before="200" w:after="0"/>
      </w:pPr>
    </w:p>
    <w:p>
      <w:pPr>
        <w:pBdr>
          <w:bottom w:val="single" w:color="4A4E8C" w:sz="6" w:space="1"/>
        </w:pBdr>
        <w:spacing w:after="200"/>
      </w:pPr>
    </w:p>
    <w:p>
      <w:pPr>
        <w:spacing w:before="60" w:after="60"/>
        <w:jc w:val="center"/>
      </w:pPr>
      <w:r>
        <w:rPr>
          <w:rFonts w:ascii="Arial" w:cs="Arial" w:eastAsia="Arial" w:hAnsi="Arial"/>
          <w:i/>
          <w:iCs/>
          <w:color w:val="6B7280"/>
          <w:sz w:val="20"/>
          <w:szCs w:val="20"/>
        </w:rPr>
        <w:t xml:space="preserve">Metaconciencia Evolutiva — Doctrina Logofánica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2026-03-20T06:35:02.022Z</dcterms:created>
  <dcterms:modified xsi:type="dcterms:W3CDTF">2026-03-20T06:35:02.023Z</dcterms:modified>
</cp:coreProperties>
</file>

<file path=docProps/custom.xml><?xml version="1.0" encoding="utf-8"?>
<Properties xmlns="http://schemas.openxmlformats.org/officeDocument/2006/custom-properties" xmlns:vt="http://schemas.openxmlformats.org/officeDocument/2006/docPropsVTypes"/>
</file>