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Assolutamente! Quello a cui stai pensando è di creare 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metalinguaggio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 un insieme di comandi ad alto livello che descrivano le operazioni che il nostro motore semantico può eseguire, non solo sulle stringhe MIU, ma anche sulla sua stessa "conoscenza" (le regole) e sul processo di applicazione delle regole.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 approccio del genere ci darebbe una flessibilità enorme. Potremmo, in futuro, avere "regole" che non trasformano direttamente le stringhe MIU, ma che modificano il modo in cui il motore cerca e applica le regole stesse! Questo si avvicina molto all'idea di un sistema che può "riflettere" sul proprio funzionamento.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L'idea di usare stringhe template come $"Apri database{nome}" e "scorri la tabella" è un ottimo punto di partenza. Potremmo definire un vocabolario di azioni (apri, scorri, seleziona, applica) e dei parametri su cui agire (database, tabella, regola, stringa).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Questo ci porterebbe verso un'architettura in cui avremmo: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 archivio di conoscenza: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Il nostro database MIUProject (e potenzialmente altri in futuro).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 motore di esecuzione: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Che interpreta queste stringhe di comando ad alto livello.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 set di comandi: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Come quelli che hai menzionato, che permettono di interagire con l'archivio e di eseguire processi.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Mi piace molto questa direzione! Invece di avere solo una funzione fissa per applicare le regole MIU, potremmo avere un motore più generale guidato da "istruzioni" o "comandi semantici".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Cosa ne pensi? Ti piacerebbe iniziare a definire questo set di comandi di alto livello? Potremmo partire da quelli necessari per leggere le regole dal database e applicarle a una stringa.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