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Results: Single-Point Mutation Stability Prediction</w:t>
      </w:r>
    </w:p>
    <w:p>
      <w:r>
        <w:t>This document summarizes the performance metrics of the three primary architectures tested for predicting the change in binding free energy (ΔΔG) upon mutation.</w:t>
      </w:r>
    </w:p>
    <w:p>
      <w:pPr>
        <w:pStyle w:val="Heading1"/>
      </w:pPr>
      <w:r>
        <w:t>1. Visual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While the local context window achieved the lowest absolute error (MAE), it failed to capture the underlying variance (negative R²). The transition to ESM-2 Self-Attention embeddings successfully solved this issue, dramatically improving the Pearson correlation from 0.285 to 0.584, indicating a much stronger ability to rank mutations by their true stabilizing or destabilizing effects.</w:t>
      </w:r>
    </w:p>
    <w:p>
      <w:pPr>
        <w:pStyle w:val="Heading1"/>
      </w:pPr>
      <w:r>
        <w:t>2. Raw Data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 Architecture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MAE (kcal/mol)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Pearson r</w:t>
            </w:r>
          </w:p>
        </w:tc>
      </w:tr>
      <w:tr>
        <w:tc>
          <w:tcPr>
            <w:tcW w:type="dxa" w:w="1728"/>
          </w:tcPr>
          <w:p>
            <w:r>
              <w:t>Baseline</w:t>
              <w:br/>
              <w:t>(Mutation Only)</w:t>
            </w:r>
          </w:p>
        </w:tc>
        <w:tc>
          <w:tcPr>
            <w:tcW w:type="dxa" w:w="1728"/>
          </w:tcPr>
          <w:p>
            <w:r>
              <w:t>2.302</w:t>
            </w:r>
          </w:p>
        </w:tc>
        <w:tc>
          <w:tcPr>
            <w:tcW w:type="dxa" w:w="1728"/>
          </w:tcPr>
          <w:p>
            <w:r>
              <w:t>1.016</w:t>
            </w:r>
          </w:p>
        </w:tc>
        <w:tc>
          <w:tcPr>
            <w:tcW w:type="dxa" w:w="1728"/>
          </w:tcPr>
          <w:p>
            <w:r>
              <w:t>0.098</w:t>
            </w:r>
          </w:p>
        </w:tc>
        <w:tc>
          <w:tcPr>
            <w:tcW w:type="dxa" w:w="1728"/>
          </w:tcPr>
          <w:p>
            <w:r>
              <w:t>0.365</w:t>
            </w:r>
          </w:p>
        </w:tc>
      </w:tr>
      <w:tr>
        <w:tc>
          <w:tcPr>
            <w:tcW w:type="dxa" w:w="1728"/>
          </w:tcPr>
          <w:p>
            <w:r>
              <w:t>Local Window</w:t>
              <w:br/>
              <w:t>(±3 Residues)</w:t>
            </w:r>
          </w:p>
        </w:tc>
        <w:tc>
          <w:tcPr>
            <w:tcW w:type="dxa" w:w="1728"/>
          </w:tcPr>
          <w:p>
            <w:r>
              <w:t>1.018</w:t>
            </w:r>
          </w:p>
        </w:tc>
        <w:tc>
          <w:tcPr>
            <w:tcW w:type="dxa" w:w="1728"/>
          </w:tcPr>
          <w:p>
            <w:r>
              <w:t>0.717</w:t>
            </w:r>
          </w:p>
        </w:tc>
        <w:tc>
          <w:tcPr>
            <w:tcW w:type="dxa" w:w="1728"/>
          </w:tcPr>
          <w:p>
            <w:r>
              <w:t>-0.150</w:t>
            </w:r>
          </w:p>
        </w:tc>
        <w:tc>
          <w:tcPr>
            <w:tcW w:type="dxa" w:w="1728"/>
          </w:tcPr>
          <w:p>
            <w:r>
              <w:t>0.285</w:t>
            </w:r>
          </w:p>
        </w:tc>
      </w:tr>
      <w:tr>
        <w:tc>
          <w:tcPr>
            <w:tcW w:type="dxa" w:w="1728"/>
          </w:tcPr>
          <w:p>
            <w:r>
              <w:t>Global ESM-2</w:t>
              <w:br/>
              <w:t>(8M Params)</w:t>
            </w:r>
          </w:p>
        </w:tc>
        <w:tc>
          <w:tcPr>
            <w:tcW w:type="dxa" w:w="1728"/>
          </w:tcPr>
          <w:p>
            <w:r>
              <w:t>2.199</w:t>
            </w:r>
          </w:p>
        </w:tc>
        <w:tc>
          <w:tcPr>
            <w:tcW w:type="dxa" w:w="1728"/>
          </w:tcPr>
          <w:p>
            <w:r>
              <w:t>1.136</w:t>
            </w:r>
          </w:p>
        </w:tc>
        <w:tc>
          <w:tcPr>
            <w:tcW w:type="dxa" w:w="1728"/>
          </w:tcPr>
          <w:p>
            <w:r>
              <w:t>0.334</w:t>
            </w:r>
          </w:p>
        </w:tc>
        <w:tc>
          <w:tcPr>
            <w:tcW w:type="dxa" w:w="1728"/>
          </w:tcPr>
          <w:p>
            <w:r>
              <w:t>0.584</w:t>
            </w:r>
          </w:p>
        </w:tc>
      </w:tr>
      <w:tr>
        <w:tc>
          <w:tcPr>
            <w:tcW w:type="dxa" w:w="1728"/>
          </w:tcPr>
          <w:p>
            <w:r>
              <w:t>Combined</w:t>
              <w:br/>
              <w:t>(8M + Window)</w:t>
            </w:r>
          </w:p>
        </w:tc>
        <w:tc>
          <w:tcPr>
            <w:tcW w:type="dxa" w:w="1728"/>
          </w:tcPr>
          <w:p>
            <w:r>
              <w:t>0.732</w:t>
            </w:r>
          </w:p>
        </w:tc>
        <w:tc>
          <w:tcPr>
            <w:tcW w:type="dxa" w:w="1728"/>
          </w:tcPr>
          <w:p>
            <w:r>
              <w:t>0.674</w:t>
            </w:r>
          </w:p>
        </w:tc>
        <w:tc>
          <w:tcPr>
            <w:tcW w:type="dxa" w:w="1728"/>
          </w:tcPr>
          <w:p>
            <w:r>
              <w:t>0.360</w:t>
            </w:r>
          </w:p>
        </w:tc>
        <w:tc>
          <w:tcPr>
            <w:tcW w:type="dxa" w:w="1728"/>
          </w:tcPr>
          <w:p>
            <w:r>
              <w:t>0.630</w:t>
            </w:r>
          </w:p>
        </w:tc>
      </w:tr>
      <w:tr>
        <w:tc>
          <w:tcPr>
            <w:tcW w:type="dxa" w:w="1728"/>
          </w:tcPr>
          <w:p>
            <w:r>
              <w:t>Final Combined</w:t>
              <w:br/>
              <w:t>(150M + Window)</w:t>
            </w:r>
          </w:p>
        </w:tc>
        <w:tc>
          <w:tcPr>
            <w:tcW w:type="dxa" w:w="1728"/>
          </w:tcPr>
          <w:p>
            <w:r>
              <w:t>0.734</w:t>
            </w:r>
          </w:p>
        </w:tc>
        <w:tc>
          <w:tcPr>
            <w:tcW w:type="dxa" w:w="1728"/>
          </w:tcPr>
          <w:p>
            <w:r>
              <w:t>0.651</w:t>
            </w:r>
          </w:p>
        </w:tc>
        <w:tc>
          <w:tcPr>
            <w:tcW w:type="dxa" w:w="1728"/>
          </w:tcPr>
          <w:p>
            <w:r>
              <w:t>0.358</w:t>
            </w:r>
          </w:p>
        </w:tc>
        <w:tc>
          <w:tcPr>
            <w:tcW w:type="dxa" w:w="1728"/>
          </w:tcPr>
          <w:p>
            <w:r>
              <w:t>0.664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