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Calibri" w:hAnsi="Calibri"/>
          <w:b/>
          <w:color w:val="003366"/>
          <w:sz w:val="52"/>
        </w:rPr>
        <w:t>BIFRÖST-GATE VPN ORCHESTRATOR</w:t>
      </w:r>
    </w:p>
    <w:p>
      <w:pPr>
        <w:spacing w:after="360"/>
      </w:pPr>
      <w:r>
        <w:rPr>
          <w:rFonts w:ascii="Calibri" w:hAnsi="Calibri"/>
          <w:color w:val="4682B4"/>
          <w:sz w:val="32"/>
        </w:rPr>
        <w:t>Especificación Técnica de Arquitectura, Integración y Guía de API RESTful</w:t>
      </w:r>
    </w:p>
    <w:p>
      <w:pPr>
        <w:spacing w:after="480"/>
      </w:pPr>
      <w:r>
        <w:rPr>
          <w:rFonts w:ascii="Calibri" w:hAnsi="Calibri"/>
          <w:color w:val="666666"/>
          <w:sz w:val="19"/>
        </w:rPr>
        <w:t>Versión del Documento: 1.2.0 | Nivel de Confidencialidad: Uso Interno / Partners</w:t>
        <w:br/>
        <w:t>Fecha: Julio 2026 | Autor: Arquitectura de Software &amp; Seguridad Enterprise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1. RESUMEN EJECUTIVO Y PROPÓSITO</w:t>
      </w:r>
    </w:p>
    <w:p>
      <w:pPr>
        <w:spacing w:after="160"/>
      </w:pPr>
      <w:r>
        <w:t>Bifröst-Gate es una plataforma enterprise desarrollada en Rust sobre el framework Axum para la orquestación, gestión automatizada y monitoreo en tiempo real de infraestructuras VPN basadas en StrongSwan (IPsec / IKEv2). El sistema provee una capa de abstracción de alto nivel mediante una API RESTful moderna, OpenAPI/Swagger incorporado, internacionalización de mensajes (i18n), autenticación híbrida granular y almacenamiento persistente transaccional en SQLite.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36" w:space="0" w:color="00336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📌 VISIÓN ARQUITECTÓNICA DEL SISTEMA</w:t>
              <w:br/>
            </w:r>
            <w:r>
              <w:rPr>
                <w:rFonts w:ascii="Calibri" w:hAnsi="Calibri"/>
                <w:color w:val="333333"/>
                <w:sz w:val="20"/>
              </w:rPr>
              <w:t>Bifröst-Gate actúa como el plano de control (Control Plane) para la gestión de túneles IPsec. Toda interacción directa con el stack nativo de StrongSwan se efectúa mediante comandos atómicos y seguros (swanctl/VICI), garantizando cero tiempo de inactividad (zero-downtime) y aislamiento completo de fallos.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2. ARQUITECTURA DE SEGURIDAD Y AUTENTICACIÓN HÍBRIDA</w:t>
      </w:r>
    </w:p>
    <w:p>
      <w:pPr>
        <w:spacing w:after="160"/>
      </w:pPr>
      <w:r>
        <w:t>Bifröst-Gate implementa un modelo de seguridad por capas (Defense-in-Depth) que aísla las interfaces administrativas, los endpoints de ingesta de métricas y la API operativa principal: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Capa / Endpoint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Mecanismo de Autenticación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Propósito &amp; Alcance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/api/* (Endpoints Operativos)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Seguridad Híbrida: API Key + JWT (RBAC Scopes)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Gestión de Conexiones, Secretos, Certificados y Control de Peers IPsec.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/metrics (Métricas Prometheus)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HTTP Basic Auth (Tabla api_users)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Ingesta automatizada para Prometheus / Grafana sin exponer keys operativas.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/api/docs, /howto, /tryme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HTTP Basic Auth (Tabla docs_users)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Acceso a documentación Swagger, Redoc y herramientas de prueba interactivas.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3. DIAGRAMAS DE FLUJO Y PROCESO DE AUTENTICACIÓN</w:t>
      </w:r>
    </w:p>
    <w:p>
      <w:r>
        <w:t>A continuación se ilustra el flujo de validación del Middleware de Seguridad Híbrida: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+-----------------------------------------------------------------------+</w:t>
              <w:br/>
              <w:t>|                 Petición de Cliente HTTP (REST API)                   |</w:t>
              <w:br/>
              <w:t>+-----------------------------------------------------------------------+</w:t>
              <w:br/>
              <w:t xml:space="preserve">                                    |</w:t>
              <w:br/>
              <w:t xml:space="preserve">                                    v</w:t>
              <w:br/>
              <w:t xml:space="preserve">                [ Cabecera 'x-api-key' presente? ]</w:t>
              <w:br/>
              <w:t xml:space="preserve">                       /                 \</w:t>
              <w:br/>
              <w:t xml:space="preserve">                     (No)               (Sí)</w:t>
              <w:br/>
              <w:t xml:space="preserve">                     /                     \</w:t>
              <w:br/>
              <w:t xml:space="preserve">                    v                       v</w:t>
              <w:br/>
              <w:t xml:space="preserve">         HTTP 401 Unauthorized     [ API Key activa en DB? ]</w:t>
              <w:br/>
              <w:t xml:space="preserve">         (Code: 30000/30001)             /            \</w:t>
              <w:br/>
              <w:t xml:space="preserve">                                       (No)           (Sí)</w:t>
              <w:br/>
              <w:t xml:space="preserve">                                       /                \</w:t>
              <w:br/>
              <w:t xml:space="preserve">                                      v                  v</w:t>
              <w:br/>
              <w:t xml:space="preserve">                          HTTP 401 Unauthorized    [ Bearer JWT Token Válido? ]</w:t>
              <w:br/>
              <w:t xml:space="preserve">                          (Code: 30002)                 /            \</w:t>
              <w:br/>
              <w:t xml:space="preserve">                                                      (No)           (Sí)</w:t>
              <w:br/>
              <w:t xml:space="preserve">                                                      /                \</w:t>
              <w:br/>
              <w:t xml:space="preserve">                                                     v                  v</w:t>
              <w:br/>
              <w:t xml:space="preserve">                                         HTTP 401 Unauthorized  [ Evaluar Intersección ]</w:t>
              <w:br/>
              <w:t xml:space="preserve">                                         (Code: 30003)          [    de Permisos       ]</w:t>
              <w:br/>
              <w:t xml:space="preserve">                                                                       |</w:t>
              <w:br/>
              <w:t xml:space="preserve">                                                                [ Scope Autorizado? ]</w:t>
              <w:br/>
              <w:t xml:space="preserve">                                                                 /              \</w:t>
              <w:br/>
              <w:t xml:space="preserve">                                                               (No)             (Sí)</w:t>
              <w:br/>
              <w:t xml:space="preserve">                                                               /                  \</w:t>
              <w:br/>
              <w:t xml:space="preserve">                                                              v                    v</w:t>
              <w:br/>
              <w:t xml:space="preserve">                                                    HTTP 403 Forbidden     HTTP 200 / Exec</w:t>
              <w:br/>
              <w:t xml:space="preserve">                                                    (Code: 40301)          (Controlador)</w:t>
              <w:br/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4. CASOS DE USO INTEGRALES Y EJEMPLOS DE PAYLOADS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Caso 1: Configuración de Conexión Sitio a Sitio (Peer-to-Peer PSK)</w:t>
      </w:r>
    </w:p>
    <w:p>
      <w:r>
        <w:t>Para establecer un túnel IPsec PSK entre dos sedes corporativas: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// 1. Crear Secreto Pre-Shared Key (POST /api/secrets)</w:t>
              <w:br/>
              <w:t>{</w:t>
              <w:br/>
              <w:t xml:space="preserve">  "name": "psk-site-b",</w:t>
              <w:br/>
              <w:t xml:space="preserve">  "secret_type": "ike",</w:t>
              <w:br/>
              <w:t xml:space="preserve">  "config": {</w:t>
              <w:br/>
              <w:t xml:space="preserve">    "secret": "SuperSecretEnterpriseKey2026!",</w:t>
              <w:br/>
              <w:t xml:space="preserve">    "owners": ["192.168.1.1", "192.168.2.1"]</w:t>
              <w:br/>
              <w:t xml:space="preserve">  }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// 2. Crear Conexión VPN IPsec (POST /api/connections)</w:t>
              <w:br/>
              <w:t>{</w:t>
              <w:br/>
              <w:t xml:space="preserve">  "name": "conn-site-b",</w:t>
              <w:br/>
              <w:t xml:space="preserve">  "config": {</w:t>
              <w:br/>
              <w:t xml:space="preserve">    "version": 2,</w:t>
              <w:br/>
              <w:t xml:space="preserve">    "local_addrs": "192.168.1.1",</w:t>
              <w:br/>
              <w:t xml:space="preserve">    "remote_addrs": "192.168.2.1",</w:t>
              <w:br/>
              <w:t xml:space="preserve">    "proposals": "aes256-sha256-modp2048",</w:t>
              <w:br/>
              <w:t xml:space="preserve">    "children": {</w:t>
              <w:br/>
              <w:t xml:space="preserve">      "net-to-net": {</w:t>
              <w:br/>
              <w:t xml:space="preserve">        "local_ts": "10.10.0.0/16",</w:t>
              <w:br/>
              <w:t xml:space="preserve">        "remote_ts": "10.20.0.0/16",</w:t>
              <w:br/>
              <w:t xml:space="preserve">        "start_action": "trap"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  <w:spacing w:before="240" w:after="80"/>
      </w:pPr>
      <w:r>
        <w:rPr>
          <w:rFonts w:ascii="Calibri" w:hAnsi="Calibri"/>
          <w:b/>
          <w:color w:val="4682B4"/>
          <w:sz w:val="28"/>
        </w:rPr>
        <w:t>Caso 2: Gestión de Certificados X.509 y PKI (Roadwarrior VPN)</w:t>
      </w:r>
    </w:p>
    <w:p>
      <w:r>
        <w:t>Creación de una Entidad Emisora (CA) y asignación de certificado para cliente VPN: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// 1. Emitir Root CA (POST /api/certificates/ca)</w:t>
              <w:br/>
              <w:t>{</w:t>
              <w:br/>
              <w:t xml:space="preserve">  "name": "corp-root-ca",</w:t>
              <w:br/>
              <w:t xml:space="preserve">  "common_name": "Enterprise Corporate Root CA",</w:t>
              <w:br/>
              <w:t xml:space="preserve">  "organization": "Bifrost Network Systems",</w:t>
              <w:br/>
              <w:t xml:space="preserve">  "country": "GT",</w:t>
              <w:br/>
              <w:t xml:space="preserve">  "days": 3650,</w:t>
              <w:br/>
              <w:t xml:space="preserve">  "key_size": 4096</w:t>
              <w:br/>
              <w:t>}</w:t>
            </w:r>
          </w:p>
        </w:tc>
      </w:tr>
    </w:tbl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5. ADMINISTRACIÓN EN CONSOLA CON BIFROSTCTL</w:t>
      </w:r>
    </w:p>
    <w:p>
      <w:r>
        <w:t>Para tareas de infraestructura y operaciones en servidor, la herramienta CLI 'bifrostctl' permite gestionar API Keys y Usuarios Administrativos directamente sobre la base SQLite: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# Gestión de Usuarios para Métricas Prometheus (/metrics)</w:t>
              <w:br/>
              <w:t>sudo bifrostctl api-user create prometheus_collector MySecurePass123!</w:t>
              <w:br/>
              <w:t>sudo bifrostctl api-user list</w:t>
              <w:br/>
              <w:t>sudo bifrostctl api-user passwd prometheus_collector NewPass456!</w:t>
              <w:br/>
              <w:br/>
              <w:t># Gestión de API Keys Operativas</w:t>
              <w:br/>
              <w:t>sudo bifrostctl apikey create partner_integration_app</w:t>
              <w:br/>
              <w:t>sudo bifrostctl apikey list</w:t>
              <w:br/>
              <w:t>sudo bifrostctl apikey disable bfg_xxxxxx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6. CATÁLOGO ESTÁNDAR DE CÓDIGOS DE RESPUESTA E I18N</w:t>
      </w:r>
    </w:p>
    <w:p>
      <w:r>
        <w:t>Bifröst-Gate incluye un catálogo internacionalizado (i18n) de códigos de respuesta. El idioma del mensaje devuelto en el JSON se resuelve dinámicamente mediante la cabecera HTTP 'Accept-Language':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Código HTTP / Interno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Tipo / Módulo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Descripción &amp; Mensaje por Defecto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20000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Global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Request executed successfully / Solicitud ejecutada exitosamente.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30000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API Key Required / API Key requerida.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30003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Missing or invalid JWT token / Token JWT ausente o inválido.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40301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Insufficient permissions to perform this action / Permisos insuficientes.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50000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Fatal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General Error / Error interno del servidor.</w:t>
            </w:r>
          </w:p>
        </w:tc>
      </w:tr>
    </w:tbl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36" w:space="0" w:color="00336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📌 RECURSOS ADICIONALES Y HERRAMIENTAS</w:t>
              <w:br/>
            </w:r>
            <w:r>
              <w:rPr>
                <w:rFonts w:ascii="Calibri" w:hAnsi="Calibri"/>
                <w:color w:val="333333"/>
                <w:sz w:val="20"/>
              </w:rPr>
              <w:t>Para probar de forma interactiva la API, puedes utilizar el Swagger UI incorporado en http://&lt;server-ip&gt;:2704/api/docs o importar la colección oficial de Postman 'postman/Bifrost-Gate.postman_collection.json'.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