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5AB" w:rsidRDefault="00370743">
      <w:r>
        <w:rPr>
          <w:noProof/>
        </w:rPr>
        <w:drawing>
          <wp:anchor distT="0" distB="0" distL="114300" distR="114300" simplePos="0" relativeHeight="251661312" behindDoc="1" locked="0" layoutInCell="1" allowOverlap="1">
            <wp:simplePos x="0" y="0"/>
            <wp:positionH relativeFrom="column">
              <wp:posOffset>17907</wp:posOffset>
            </wp:positionH>
            <wp:positionV relativeFrom="paragraph">
              <wp:posOffset>5970397</wp:posOffset>
            </wp:positionV>
            <wp:extent cx="5400294" cy="822960"/>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srcRect/>
                    <a:stretch>
                      <a:fillRect/>
                    </a:stretch>
                  </pic:blipFill>
                  <pic:spPr bwMode="auto">
                    <a:xfrm>
                      <a:off x="0" y="0"/>
                      <a:ext cx="5400294" cy="82296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17907</wp:posOffset>
            </wp:positionH>
            <wp:positionV relativeFrom="paragraph">
              <wp:posOffset>3544189</wp:posOffset>
            </wp:positionV>
            <wp:extent cx="5400294" cy="2426208"/>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5400294" cy="2426208"/>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17907</wp:posOffset>
            </wp:positionH>
            <wp:positionV relativeFrom="paragraph">
              <wp:posOffset>1605661</wp:posOffset>
            </wp:positionV>
            <wp:extent cx="5400294" cy="193852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400294" cy="1938528"/>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17907</wp:posOffset>
            </wp:positionH>
            <wp:positionV relativeFrom="paragraph">
              <wp:posOffset>2413</wp:posOffset>
            </wp:positionV>
            <wp:extent cx="5400294" cy="1603248"/>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00294" cy="1603248"/>
                    </a:xfrm>
                    <a:prstGeom prst="rect">
                      <a:avLst/>
                    </a:prstGeom>
                    <a:noFill/>
                    <a:ln w="9525">
                      <a:noFill/>
                      <a:miter lim="800000"/>
                      <a:headEnd/>
                      <a:tailEnd/>
                    </a:ln>
                  </pic:spPr>
                </pic:pic>
              </a:graphicData>
            </a:graphic>
          </wp:anchor>
        </w:drawing>
      </w:r>
    </w:p>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Pr="002065AB" w:rsidRDefault="002065AB" w:rsidP="002065AB"/>
    <w:p w:rsidR="002065AB" w:rsidRDefault="002065AB" w:rsidP="002065AB"/>
    <w:p w:rsidR="002065AB" w:rsidRDefault="002065AB">
      <w:r>
        <w:br w:type="page"/>
      </w:r>
    </w:p>
    <w:p w:rsidR="002065AB" w:rsidRDefault="002065AB" w:rsidP="002065AB">
      <w:pPr>
        <w:rPr>
          <w:rFonts w:ascii="Comic Sans MS" w:hAnsi="Comic Sans MS"/>
          <w:b/>
        </w:rPr>
      </w:pPr>
      <w:r w:rsidRPr="00830FAB">
        <w:rPr>
          <w:rFonts w:ascii="Comic Sans MS" w:hAnsi="Comic Sans MS"/>
          <w:b/>
        </w:rPr>
        <w:lastRenderedPageBreak/>
        <w:t xml:space="preserve">Procesos o competencias cognitivas Recuperación de la información,  </w:t>
      </w:r>
    </w:p>
    <w:p w:rsidR="002065AB" w:rsidRDefault="002065AB" w:rsidP="002065AB">
      <w:pPr>
        <w:rPr>
          <w:rFonts w:ascii="Comic Sans MS" w:hAnsi="Comic Sans MS"/>
          <w:b/>
        </w:rPr>
      </w:pPr>
      <w:r w:rsidRPr="00830FAB">
        <w:rPr>
          <w:rFonts w:ascii="Comic Sans MS" w:hAnsi="Comic Sans MS"/>
          <w:b/>
        </w:rPr>
        <w:t xml:space="preserve">- Comprensión del texto,  </w:t>
      </w:r>
    </w:p>
    <w:p w:rsidR="002065AB" w:rsidRDefault="002065AB" w:rsidP="002065AB">
      <w:pPr>
        <w:rPr>
          <w:rFonts w:ascii="Comic Sans MS" w:hAnsi="Comic Sans MS"/>
          <w:b/>
        </w:rPr>
      </w:pPr>
      <w:r w:rsidRPr="00830FAB">
        <w:rPr>
          <w:rFonts w:ascii="Comic Sans MS" w:hAnsi="Comic Sans MS"/>
          <w:b/>
        </w:rPr>
        <w:t xml:space="preserve">- Desarrollo de una interpretación,  </w:t>
      </w:r>
    </w:p>
    <w:p w:rsidR="002065AB" w:rsidRDefault="002065AB" w:rsidP="002065AB">
      <w:pPr>
        <w:rPr>
          <w:rFonts w:ascii="Comic Sans MS" w:hAnsi="Comic Sans MS"/>
          <w:b/>
        </w:rPr>
      </w:pPr>
      <w:r w:rsidRPr="00830FAB">
        <w:rPr>
          <w:rFonts w:ascii="Comic Sans MS" w:hAnsi="Comic Sans MS"/>
          <w:b/>
        </w:rPr>
        <w:t xml:space="preserve">- Reflexión y evaluación sobre la forma y  </w:t>
      </w:r>
    </w:p>
    <w:p w:rsidR="002065AB" w:rsidRDefault="002065AB" w:rsidP="002065AB">
      <w:pPr>
        <w:rPr>
          <w:rFonts w:ascii="Comic Sans MS" w:hAnsi="Comic Sans MS"/>
          <w:b/>
        </w:rPr>
      </w:pPr>
      <w:r w:rsidRPr="00830FAB">
        <w:rPr>
          <w:rFonts w:ascii="Comic Sans MS" w:hAnsi="Comic Sans MS"/>
          <w:b/>
        </w:rPr>
        <w:t>- Reflexión y evaluación sobre el contenido de un texto.</w:t>
      </w:r>
    </w:p>
    <w:p w:rsidR="002065AB" w:rsidRDefault="002065AB" w:rsidP="002065AB">
      <w:pPr>
        <w:rPr>
          <w:rFonts w:ascii="Comic Sans MS" w:hAnsi="Comic Sans MS"/>
          <w:b/>
        </w:rPr>
      </w:pPr>
    </w:p>
    <w:p w:rsidR="002065AB" w:rsidRDefault="002065AB" w:rsidP="002065AB">
      <w:pPr>
        <w:rPr>
          <w:rFonts w:ascii="Comic Sans MS" w:hAnsi="Comic Sans MS"/>
        </w:rPr>
      </w:pPr>
      <w:r w:rsidRPr="00830FAB">
        <w:rPr>
          <w:rFonts w:ascii="Comic Sans MS" w:hAnsi="Comic Sans MS"/>
        </w:rPr>
        <w:t xml:space="preserve">Acceso y recuperación de la información: Se define como la ubicación de uno o más fragmentos de información en un texto. Está ligado a la comprensión literal del texto. Se exige precisión, rigor y exactitud para localizar y extraer la información requerida. Los ejercicios de obtención de datos pueden referirse a la selección de una información explícita o a otras tareas más complejas que requieren encontrar información sinónima. </w:t>
      </w:r>
    </w:p>
    <w:p w:rsidR="002065AB" w:rsidRDefault="002065AB" w:rsidP="002065AB">
      <w:pPr>
        <w:rPr>
          <w:rFonts w:ascii="Comic Sans MS" w:hAnsi="Comic Sans MS"/>
        </w:rPr>
      </w:pPr>
      <w:r w:rsidRPr="00830FAB">
        <w:rPr>
          <w:rFonts w:ascii="Comic Sans MS" w:hAnsi="Comic Sans MS" w:cs="Comic Sans MS"/>
        </w:rPr>
        <w:t> Integración e interpretación del texto: Se define como la construcción de significados y la generación de inferencias a part</w:t>
      </w:r>
      <w:r w:rsidRPr="00830FAB">
        <w:rPr>
          <w:rFonts w:ascii="Comic Sans MS" w:hAnsi="Comic Sans MS"/>
        </w:rPr>
        <w:t>ir de una o más secciones de un texto.</w:t>
      </w:r>
    </w:p>
    <w:p w:rsidR="002065AB" w:rsidRDefault="002065AB" w:rsidP="002065AB">
      <w:pPr>
        <w:rPr>
          <w:rFonts w:ascii="Comic Sans MS" w:hAnsi="Comic Sans MS"/>
        </w:rPr>
      </w:pPr>
      <w:r w:rsidRPr="00830FAB">
        <w:rPr>
          <w:rFonts w:ascii="Comic Sans MS" w:hAnsi="Comic Sans MS"/>
        </w:rPr>
        <w:t xml:space="preserve"> </w:t>
      </w:r>
      <w:r w:rsidRPr="00830FAB">
        <w:rPr>
          <w:rFonts w:ascii="Comic Sans MS" w:hAnsi="Comic Sans MS" w:cs="Comic Sans MS"/>
        </w:rPr>
        <w:t> Reflexión y evaluación sobre la forma y el contenido del texto: La reflexión y la evaluación se definen como la capacidad de relacionar un texto con la experiencia, los conocimientos y las ideas propias. La reflexió</w:t>
      </w:r>
      <w:r w:rsidRPr="00830FAB">
        <w:rPr>
          <w:rFonts w:ascii="Comic Sans MS" w:hAnsi="Comic Sans MS"/>
        </w:rPr>
        <w:t xml:space="preserve">n puede realizarse: o Sobre el contenido del texto: requiere relacionar el contenido del texto con los conocimientos, ideas y experiencias previas. </w:t>
      </w:r>
      <w:proofErr w:type="gramStart"/>
      <w:r w:rsidRPr="00830FAB">
        <w:rPr>
          <w:rFonts w:ascii="Comic Sans MS" w:hAnsi="Comic Sans MS"/>
        </w:rPr>
        <w:t>o</w:t>
      </w:r>
      <w:proofErr w:type="gramEnd"/>
      <w:r w:rsidRPr="00830FAB">
        <w:rPr>
          <w:rFonts w:ascii="Comic Sans MS" w:hAnsi="Comic Sans MS"/>
        </w:rPr>
        <w:t xml:space="preserve"> Sobre la forma: requiere relacionar la forma del texto con su utilidad y con la actitud e intenciones del autor.  </w:t>
      </w:r>
    </w:p>
    <w:p w:rsidR="002065AB" w:rsidRDefault="002065AB" w:rsidP="002065AB">
      <w:pPr>
        <w:ind w:firstLine="708"/>
      </w:pPr>
      <w:r w:rsidRPr="002065AB">
        <w:rPr>
          <w:noProof/>
        </w:rPr>
        <w:drawing>
          <wp:inline distT="0" distB="0" distL="0" distR="0">
            <wp:extent cx="5400040" cy="242281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00040" cy="2422814"/>
                    </a:xfrm>
                    <a:prstGeom prst="rect">
                      <a:avLst/>
                    </a:prstGeom>
                    <a:noFill/>
                    <a:ln w="9525">
                      <a:noFill/>
                      <a:miter lim="800000"/>
                      <a:headEnd/>
                      <a:tailEnd/>
                    </a:ln>
                  </pic:spPr>
                </pic:pic>
              </a:graphicData>
            </a:graphic>
          </wp:inline>
        </w:drawing>
      </w:r>
    </w:p>
    <w:p w:rsidR="002065AB" w:rsidRDefault="002065AB" w:rsidP="002065AB">
      <w:pPr>
        <w:tabs>
          <w:tab w:val="left" w:pos="998"/>
        </w:tabs>
      </w:pPr>
      <w:r>
        <w:tab/>
      </w:r>
    </w:p>
    <w:p w:rsidR="002065AB" w:rsidRDefault="002065AB">
      <w:r>
        <w:br w:type="page"/>
      </w:r>
      <w:r>
        <w:rPr>
          <w:noProof/>
        </w:rPr>
        <w:lastRenderedPageBreak/>
        <w:drawing>
          <wp:inline distT="0" distB="0" distL="0" distR="0">
            <wp:extent cx="5400040" cy="502784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00040" cy="5027841"/>
                    </a:xfrm>
                    <a:prstGeom prst="rect">
                      <a:avLst/>
                    </a:prstGeom>
                    <a:noFill/>
                    <a:ln w="9525">
                      <a:noFill/>
                      <a:miter lim="800000"/>
                      <a:headEnd/>
                      <a:tailEnd/>
                    </a:ln>
                  </pic:spPr>
                </pic:pic>
              </a:graphicData>
            </a:graphic>
          </wp:inline>
        </w:drawing>
      </w:r>
    </w:p>
    <w:p w:rsidR="002065AB" w:rsidRDefault="002065AB">
      <w:r>
        <w:rPr>
          <w:noProof/>
        </w:rPr>
        <w:drawing>
          <wp:inline distT="0" distB="0" distL="0" distR="0">
            <wp:extent cx="5400040" cy="2131998"/>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400040" cy="2131998"/>
                    </a:xfrm>
                    <a:prstGeom prst="rect">
                      <a:avLst/>
                    </a:prstGeom>
                    <a:noFill/>
                    <a:ln w="9525">
                      <a:noFill/>
                      <a:miter lim="800000"/>
                      <a:headEnd/>
                      <a:tailEnd/>
                    </a:ln>
                  </pic:spPr>
                </pic:pic>
              </a:graphicData>
            </a:graphic>
          </wp:inline>
        </w:drawing>
      </w:r>
    </w:p>
    <w:p w:rsidR="002065AB" w:rsidRDefault="002065AB">
      <w:r>
        <w:rPr>
          <w:noProof/>
        </w:rPr>
        <w:lastRenderedPageBreak/>
        <w:drawing>
          <wp:inline distT="0" distB="0" distL="0" distR="0">
            <wp:extent cx="5400040" cy="337607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00040" cy="3376072"/>
                    </a:xfrm>
                    <a:prstGeom prst="rect">
                      <a:avLst/>
                    </a:prstGeom>
                    <a:noFill/>
                    <a:ln w="9525">
                      <a:noFill/>
                      <a:miter lim="800000"/>
                      <a:headEnd/>
                      <a:tailEnd/>
                    </a:ln>
                  </pic:spPr>
                </pic:pic>
              </a:graphicData>
            </a:graphic>
          </wp:inline>
        </w:drawing>
      </w:r>
    </w:p>
    <w:p w:rsidR="002065AB" w:rsidRDefault="002065AB">
      <w:r>
        <w:rPr>
          <w:noProof/>
        </w:rPr>
        <w:drawing>
          <wp:inline distT="0" distB="0" distL="0" distR="0">
            <wp:extent cx="5400040" cy="197393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400040" cy="1973939"/>
                    </a:xfrm>
                    <a:prstGeom prst="rect">
                      <a:avLst/>
                    </a:prstGeom>
                    <a:noFill/>
                    <a:ln w="9525">
                      <a:noFill/>
                      <a:miter lim="800000"/>
                      <a:headEnd/>
                      <a:tailEnd/>
                    </a:ln>
                  </pic:spPr>
                </pic:pic>
              </a:graphicData>
            </a:graphic>
          </wp:inline>
        </w:drawing>
      </w:r>
    </w:p>
    <w:p w:rsidR="007D186B" w:rsidRDefault="007D186B">
      <w:r>
        <w:br w:type="page"/>
      </w:r>
    </w:p>
    <w:p w:rsidR="007D186B" w:rsidRDefault="007D186B" w:rsidP="007D186B">
      <w:pPr>
        <w:tabs>
          <w:tab w:val="left" w:pos="998"/>
        </w:tabs>
      </w:pPr>
      <w:r>
        <w:lastRenderedPageBreak/>
        <w:t xml:space="preserve">NIVELES DE COMPETENCIA LECTORA  </w:t>
      </w:r>
    </w:p>
    <w:p w:rsidR="007D186B" w:rsidRDefault="007D186B" w:rsidP="007D186B">
      <w:pPr>
        <w:tabs>
          <w:tab w:val="left" w:pos="998"/>
        </w:tabs>
      </w:pPr>
      <w:r>
        <w:t xml:space="preserve">La evaluación PISA 2009 mide la competencia en Lectura dentro del marco establecido en el año 2000 y utiliza una serie de ítems ya empleados en la evaluación de ese año, en que esta competencia fue centro de atención específica. La escala de lectura de las evaluaciones PISA 2003 y PISA 2006 partía de los resultados de la evaluación del 2000, que tuvo una media de 500 puntos y una desviación típica de 100. Por tanto, la evaluación PISA 2000 constituye el punto de referencia para medir los siguientes resultados en Lectura.  </w:t>
      </w:r>
    </w:p>
    <w:p w:rsidR="007D186B" w:rsidRDefault="007D186B" w:rsidP="007D186B">
      <w:pPr>
        <w:tabs>
          <w:tab w:val="left" w:pos="998"/>
        </w:tabs>
      </w:pPr>
      <w:r>
        <w:t xml:space="preserve">Las puntuaciones de Lectura en 2009 se presentan en seis niveles de competencia que corresponden a distintos grados de dificultad en las tareas requeridas. A los seis niveles se añade un nivel inferior (1b) que es el más bajo descrito. Aún, hay otro fuera de la escala en el que encuadra a los y las estudiantes que no alcanzan la puntuación correspondiente a este primer nivel.  </w:t>
      </w:r>
    </w:p>
    <w:p w:rsidR="007D186B" w:rsidRDefault="007D186B" w:rsidP="007D186B">
      <w:pPr>
        <w:tabs>
          <w:tab w:val="left" w:pos="998"/>
        </w:tabs>
      </w:pPr>
      <w:r>
        <w:t xml:space="preserve">Los niveles de competencia se definen de acuerdo con unas tareas que tienen rasgos comunes, tanto conceptuales como estadísticos, y que permiten asignar a cada uno de los alumnos y alumnas una puntuación específica en función de los ítems que ha respondido correctamente; por otra lado, sirve para describir qué tipo de tareas es capaz de realizar el alumnado que se sitúa en cada nivel. Las tareas pertenecientes a un mismo nivel de competencia comparten muchos rasgos, mientras que difieren de las que se sitúan en niveles superiores o inferiores.  </w:t>
      </w:r>
    </w:p>
    <w:p w:rsidR="007D186B" w:rsidRDefault="007D186B" w:rsidP="007D186B">
      <w:pPr>
        <w:tabs>
          <w:tab w:val="left" w:pos="998"/>
        </w:tabs>
      </w:pPr>
      <w:r>
        <w:t xml:space="preserve">A la hora de situar al alumnado con respecto a los niveles de rendimiento, si un alumno o alumna demuestra una habilidad suficiente en la mayoría de las tareas asociadas a un determinado nivel, por ejemplo el 4, se supone que puede realizar las tareas asociadas a ese nivel y a todos los inferiores (1b, 1a, 2 y 3), no así las tareas correspondientes a los niveles 5 y 6.  </w:t>
      </w:r>
    </w:p>
    <w:p w:rsidR="007D186B" w:rsidRDefault="007D186B" w:rsidP="007D186B">
      <w:pPr>
        <w:tabs>
          <w:tab w:val="left" w:pos="998"/>
        </w:tabs>
      </w:pPr>
      <w:r>
        <w:t xml:space="preserve">En la siguiente tabla se describen las tareas asociadas a cada uno de los niveles de rendimiento en cada una de las competencias cognitivas anteriormente citadas, así como la puntuación necesaria para situarse en cada nivel:   </w:t>
      </w:r>
    </w:p>
    <w:p w:rsidR="007D186B" w:rsidRDefault="007D186B">
      <w:r>
        <w:br w:type="page"/>
      </w:r>
    </w:p>
    <w:p w:rsidR="001B5459" w:rsidRDefault="007D186B" w:rsidP="007D186B">
      <w:pPr>
        <w:tabs>
          <w:tab w:val="left" w:pos="998"/>
        </w:tabs>
      </w:pPr>
      <w:r>
        <w:rPr>
          <w:noProof/>
        </w:rPr>
        <w:lastRenderedPageBreak/>
        <w:drawing>
          <wp:anchor distT="0" distB="0" distL="114300" distR="114300" simplePos="0" relativeHeight="251663360" behindDoc="0" locked="0" layoutInCell="1" allowOverlap="1">
            <wp:simplePos x="0" y="0"/>
            <wp:positionH relativeFrom="column">
              <wp:posOffset>-16510</wp:posOffset>
            </wp:positionH>
            <wp:positionV relativeFrom="paragraph">
              <wp:posOffset>4305300</wp:posOffset>
            </wp:positionV>
            <wp:extent cx="5394960" cy="1234440"/>
            <wp:effectExtent l="1905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394960" cy="123444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column">
              <wp:posOffset>16601</wp:posOffset>
            </wp:positionH>
            <wp:positionV relativeFrom="paragraph">
              <wp:posOffset>1542</wp:posOffset>
            </wp:positionV>
            <wp:extent cx="5402035" cy="4349932"/>
            <wp:effectExtent l="19050" t="0" r="816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2035" cy="4349932"/>
                    </a:xfrm>
                    <a:prstGeom prst="rect">
                      <a:avLst/>
                    </a:prstGeom>
                    <a:noFill/>
                    <a:ln w="9525">
                      <a:noFill/>
                      <a:miter lim="800000"/>
                      <a:headEnd/>
                      <a:tailEnd/>
                    </a:ln>
                  </pic:spPr>
                </pic:pic>
              </a:graphicData>
            </a:graphic>
          </wp:anchor>
        </w:drawing>
      </w:r>
      <w:r w:rsidRPr="007D186B">
        <w:t xml:space="preserve"> </w:t>
      </w: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p>
    <w:p w:rsidR="007D186B" w:rsidRDefault="007D186B" w:rsidP="007D186B">
      <w:pPr>
        <w:tabs>
          <w:tab w:val="left" w:pos="998"/>
        </w:tabs>
      </w:pPr>
      <w:r>
        <w:lastRenderedPageBreak/>
        <w:t>Detalle por Habilidad</w:t>
      </w:r>
    </w:p>
    <w:p w:rsidR="007D186B" w:rsidRDefault="007D186B" w:rsidP="007D186B">
      <w:pPr>
        <w:tabs>
          <w:tab w:val="left" w:pos="998"/>
        </w:tabs>
      </w:pPr>
      <w:r>
        <w:rPr>
          <w:noProof/>
        </w:rPr>
        <w:drawing>
          <wp:inline distT="0" distB="0" distL="0" distR="0">
            <wp:extent cx="5400040" cy="3126599"/>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00040" cy="3126599"/>
                    </a:xfrm>
                    <a:prstGeom prst="rect">
                      <a:avLst/>
                    </a:prstGeom>
                    <a:noFill/>
                    <a:ln w="9525">
                      <a:noFill/>
                      <a:miter lim="800000"/>
                      <a:headEnd/>
                      <a:tailEnd/>
                    </a:ln>
                  </pic:spPr>
                </pic:pic>
              </a:graphicData>
            </a:graphic>
          </wp:inline>
        </w:drawing>
      </w:r>
    </w:p>
    <w:p w:rsidR="007D186B" w:rsidRDefault="007D186B" w:rsidP="007D186B">
      <w:r>
        <w:rPr>
          <w:noProof/>
        </w:rPr>
        <w:drawing>
          <wp:inline distT="0" distB="0" distL="0" distR="0">
            <wp:extent cx="5400040" cy="3161773"/>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00040" cy="3161773"/>
                    </a:xfrm>
                    <a:prstGeom prst="rect">
                      <a:avLst/>
                    </a:prstGeom>
                    <a:noFill/>
                    <a:ln w="9525">
                      <a:noFill/>
                      <a:miter lim="800000"/>
                      <a:headEnd/>
                      <a:tailEnd/>
                    </a:ln>
                  </pic:spPr>
                </pic:pic>
              </a:graphicData>
            </a:graphic>
          </wp:inline>
        </w:drawing>
      </w:r>
    </w:p>
    <w:p w:rsidR="007D186B" w:rsidRDefault="007D186B" w:rsidP="007D186B">
      <w:r>
        <w:rPr>
          <w:noProof/>
        </w:rPr>
        <w:lastRenderedPageBreak/>
        <w:drawing>
          <wp:inline distT="0" distB="0" distL="0" distR="0">
            <wp:extent cx="5400040" cy="3511908"/>
            <wp:effectExtent l="19050" t="0" r="0"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00040" cy="3511908"/>
                    </a:xfrm>
                    <a:prstGeom prst="rect">
                      <a:avLst/>
                    </a:prstGeom>
                    <a:noFill/>
                    <a:ln w="9525">
                      <a:noFill/>
                      <a:miter lim="800000"/>
                      <a:headEnd/>
                      <a:tailEnd/>
                    </a:ln>
                  </pic:spPr>
                </pic:pic>
              </a:graphicData>
            </a:graphic>
          </wp:inline>
        </w:drawing>
      </w:r>
      <w:r w:rsidRPr="007D186B">
        <w:t xml:space="preserve"> </w:t>
      </w:r>
      <w:r>
        <w:rPr>
          <w:noProof/>
        </w:rPr>
        <w:drawing>
          <wp:inline distT="0" distB="0" distL="0" distR="0">
            <wp:extent cx="5400040" cy="2859246"/>
            <wp:effectExtent l="19050" t="0" r="0" b="0"/>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00040" cy="2859246"/>
                    </a:xfrm>
                    <a:prstGeom prst="rect">
                      <a:avLst/>
                    </a:prstGeom>
                    <a:noFill/>
                    <a:ln w="9525">
                      <a:noFill/>
                      <a:miter lim="800000"/>
                      <a:headEnd/>
                      <a:tailEnd/>
                    </a:ln>
                  </pic:spPr>
                </pic:pic>
              </a:graphicData>
            </a:graphic>
          </wp:inline>
        </w:drawing>
      </w:r>
      <w:r w:rsidRPr="007D186B">
        <w:lastRenderedPageBreak/>
        <w:t xml:space="preserve"> </w:t>
      </w:r>
      <w:r>
        <w:rPr>
          <w:noProof/>
        </w:rPr>
        <w:drawing>
          <wp:inline distT="0" distB="0" distL="0" distR="0">
            <wp:extent cx="5400040" cy="3230762"/>
            <wp:effectExtent l="19050" t="0" r="0" b="0"/>
            <wp:docPr id="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400040" cy="3230762"/>
                    </a:xfrm>
                    <a:prstGeom prst="rect">
                      <a:avLst/>
                    </a:prstGeom>
                    <a:noFill/>
                    <a:ln w="9525">
                      <a:noFill/>
                      <a:miter lim="800000"/>
                      <a:headEnd/>
                      <a:tailEnd/>
                    </a:ln>
                  </pic:spPr>
                </pic:pic>
              </a:graphicData>
            </a:graphic>
          </wp:inline>
        </w:drawing>
      </w:r>
    </w:p>
    <w:p w:rsidR="007D186B" w:rsidRDefault="007D186B">
      <w:r>
        <w:br w:type="page"/>
      </w:r>
    </w:p>
    <w:p w:rsidR="007D186B" w:rsidRDefault="007D186B" w:rsidP="007D186B">
      <w:r>
        <w:lastRenderedPageBreak/>
        <w:t>Pero no podemos dejar fuera la forma de evaluación del CNB Guatemalteco</w:t>
      </w:r>
    </w:p>
    <w:p w:rsidR="007D186B" w:rsidRDefault="007D186B" w:rsidP="007D186B">
      <w:pPr>
        <w:rPr>
          <w:b/>
        </w:rPr>
      </w:pPr>
      <w:r w:rsidRPr="007D186B">
        <w:rPr>
          <w:b/>
        </w:rPr>
        <w:t>Niveles de comprensión lectora</w:t>
      </w:r>
      <w:r>
        <w:rPr>
          <w:b/>
        </w:rPr>
        <w:t xml:space="preserve"> – CNB</w:t>
      </w:r>
    </w:p>
    <w:p w:rsidR="007D186B" w:rsidRPr="007D186B" w:rsidRDefault="007D186B" w:rsidP="007D186B">
      <w:pPr>
        <w:rPr>
          <w:b/>
        </w:rPr>
      </w:pPr>
      <w:r w:rsidRPr="007D186B">
        <w:rPr>
          <w:b/>
        </w:rPr>
        <w:t>La lectura es más que decodificar, pues intervienen distintos procesos de comprensión. </w:t>
      </w:r>
      <w:proofErr w:type="spellStart"/>
      <w:r w:rsidRPr="007D186B">
        <w:rPr>
          <w:b/>
        </w:rPr>
        <w:t>Barret</w:t>
      </w:r>
      <w:proofErr w:type="spellEnd"/>
      <w:r w:rsidRPr="007D186B">
        <w:rPr>
          <w:b/>
        </w:rPr>
        <w:t xml:space="preserve"> clasificó las dimensiones cognitivas y afectivas de la comprensión lectora. Los niveles más conocidos y utilizados son comprensión literal, </w:t>
      </w:r>
      <w:proofErr w:type="spellStart"/>
      <w:r w:rsidRPr="007D186B">
        <w:rPr>
          <w:b/>
        </w:rPr>
        <w:t>inferencial</w:t>
      </w:r>
      <w:proofErr w:type="spellEnd"/>
      <w:r w:rsidRPr="007D186B">
        <w:rPr>
          <w:b/>
        </w:rPr>
        <w:t xml:space="preserve"> y crítica. </w:t>
      </w:r>
      <w:proofErr w:type="spellStart"/>
      <w:r w:rsidRPr="007D186B">
        <w:rPr>
          <w:b/>
        </w:rPr>
        <w:t>Barret</w:t>
      </w:r>
      <w:proofErr w:type="spellEnd"/>
      <w:r w:rsidRPr="007D186B">
        <w:rPr>
          <w:b/>
        </w:rPr>
        <w:t xml:space="preserve"> identifica dos más: reorganización de la información y apreciación lectora. En la figura 3 se anota para qué el lector usa cada uno de los niveles de comprensión. En cada uno de estos niveles, el lector realiza algunas tareas como las que se enumeran en la tabla I.</w:t>
      </w:r>
    </w:p>
    <w:p w:rsidR="007D186B" w:rsidRDefault="007D186B" w:rsidP="007D186B">
      <w:r>
        <w:rPr>
          <w:noProof/>
        </w:rPr>
        <w:drawing>
          <wp:inline distT="0" distB="0" distL="0" distR="0">
            <wp:extent cx="5235575" cy="5432425"/>
            <wp:effectExtent l="19050" t="0" r="3175" b="0"/>
            <wp:docPr id="12" name="Imagen 22" descr="EnseÃ±anza de la comprensiÃ³n lectora (pag.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seÃ±anza de la comprensiÃ³n lectora (pag.17.2).png"/>
                    <pic:cNvPicPr>
                      <a:picLocks noChangeAspect="1" noChangeArrowheads="1"/>
                    </pic:cNvPicPr>
                  </pic:nvPicPr>
                  <pic:blipFill>
                    <a:blip r:embed="rId20"/>
                    <a:srcRect/>
                    <a:stretch>
                      <a:fillRect/>
                    </a:stretch>
                  </pic:blipFill>
                  <pic:spPr bwMode="auto">
                    <a:xfrm>
                      <a:off x="0" y="0"/>
                      <a:ext cx="5235575" cy="5432425"/>
                    </a:xfrm>
                    <a:prstGeom prst="rect">
                      <a:avLst/>
                    </a:prstGeom>
                    <a:noFill/>
                    <a:ln w="9525">
                      <a:noFill/>
                      <a:miter lim="800000"/>
                      <a:headEnd/>
                      <a:tailEnd/>
                    </a:ln>
                  </pic:spPr>
                </pic:pic>
              </a:graphicData>
            </a:graphic>
          </wp:inline>
        </w:drawing>
      </w:r>
    </w:p>
    <w:p w:rsidR="007D186B" w:rsidRPr="007D186B" w:rsidRDefault="007D186B" w:rsidP="007D186B">
      <w:r>
        <w:rPr>
          <w:noProof/>
        </w:rPr>
        <w:lastRenderedPageBreak/>
        <w:drawing>
          <wp:anchor distT="0" distB="0" distL="114300" distR="114300" simplePos="0" relativeHeight="251664384" behindDoc="0" locked="0" layoutInCell="1" allowOverlap="1">
            <wp:simplePos x="0" y="0"/>
            <wp:positionH relativeFrom="column">
              <wp:posOffset>-828040</wp:posOffset>
            </wp:positionH>
            <wp:positionV relativeFrom="paragraph">
              <wp:posOffset>-3810</wp:posOffset>
            </wp:positionV>
            <wp:extent cx="6988810" cy="4311650"/>
            <wp:effectExtent l="19050" t="0" r="2540" b="0"/>
            <wp:wrapSquare wrapText="bothSides"/>
            <wp:docPr id="1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6988810" cy="4311650"/>
                    </a:xfrm>
                    <a:prstGeom prst="rect">
                      <a:avLst/>
                    </a:prstGeom>
                    <a:noFill/>
                    <a:ln w="9525">
                      <a:noFill/>
                      <a:miter lim="800000"/>
                      <a:headEnd/>
                      <a:tailEnd/>
                    </a:ln>
                  </pic:spPr>
                </pic:pic>
              </a:graphicData>
            </a:graphic>
          </wp:anchor>
        </w:drawing>
      </w:r>
    </w:p>
    <w:sectPr w:rsidR="007D186B" w:rsidRPr="007D186B" w:rsidSect="00BB006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08"/>
  <w:hyphenationZone w:val="425"/>
  <w:characterSpacingControl w:val="doNotCompress"/>
  <w:compat>
    <w:useFELayout/>
  </w:compat>
  <w:rsids>
    <w:rsidRoot w:val="00370743"/>
    <w:rsid w:val="001B5459"/>
    <w:rsid w:val="002065AB"/>
    <w:rsid w:val="00370743"/>
    <w:rsid w:val="004C54F6"/>
    <w:rsid w:val="007D186B"/>
    <w:rsid w:val="00BB00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063"/>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707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0743"/>
    <w:rPr>
      <w:rFonts w:ascii="Tahoma" w:hAnsi="Tahoma" w:cs="Tahoma"/>
      <w:sz w:val="16"/>
      <w:szCs w:val="16"/>
    </w:rPr>
  </w:style>
  <w:style w:type="character" w:styleId="Hipervnculo">
    <w:name w:val="Hyperlink"/>
    <w:basedOn w:val="Fuentedeprrafopredeter"/>
    <w:uiPriority w:val="99"/>
    <w:unhideWhenUsed/>
    <w:rsid w:val="007D186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2842045">
      <w:bodyDiv w:val="1"/>
      <w:marLeft w:val="0"/>
      <w:marRight w:val="0"/>
      <w:marTop w:val="0"/>
      <w:marBottom w:val="0"/>
      <w:divBdr>
        <w:top w:val="none" w:sz="0" w:space="0" w:color="auto"/>
        <w:left w:val="none" w:sz="0" w:space="0" w:color="auto"/>
        <w:bottom w:val="none" w:sz="0" w:space="0" w:color="auto"/>
        <w:right w:val="none" w:sz="0" w:space="0" w:color="auto"/>
      </w:divBdr>
    </w:div>
    <w:div w:id="183221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11</Pages>
  <Words>638</Words>
  <Characters>3512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Estuardo Alvarado</dc:creator>
  <cp:keywords/>
  <dc:description/>
  <cp:lastModifiedBy>Estuardo Alvarado</cp:lastModifiedBy>
  <cp:revision>3</cp:revision>
  <dcterms:created xsi:type="dcterms:W3CDTF">2019-03-07T15:11:00Z</dcterms:created>
  <dcterms:modified xsi:type="dcterms:W3CDTF">2019-03-28T09:25:00Z</dcterms:modified>
</cp:coreProperties>
</file>