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UTEC · TALLER DE ARQUITECTURA BIG DATA · SECCIÓN 1</w:t>
      </w:r>
    </w:p>
    <w:p>
      <w:pPr>
        <w:pBdr>
          <w:bottom w:val="single" w:color="2E75B6" w:sz="12" w:space="4"/>
        </w:pBdr>
        <w:spacing w:after="6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STYLUS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Retail de moda con compras inteligentes asistidas por IA en tiempo real</w:t>
      </w:r>
    </w:p>
    <w:p>
      <w:pPr>
        <w:spacing w:after="6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Plataforma Big Data en Google Cloud sobre el dataset público H&amp;M (Kaggle): ingesta batch y streaming, lakehouse medallion, analítica, recomendaciones y asistente con Vertex AI Gemini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ENTREGA 1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Examen (E): Caso de estudio y sustentación técnica, económica y de resiliencia</w:t>
      </w:r>
    </w:p>
    <w:p>
      <w:pPr>
        <w:spacing w:after="600"/>
      </w:pPr>
      <w:r>
        <w:rPr>
          <w:rFonts w:ascii="Arial" w:cs="Arial" w:eastAsia="Arial" w:hAnsi="Arial"/>
          <w:sz w:val="22"/>
          <w:szCs w:val="22"/>
        </w:rPr>
        <w:t xml:space="preserve">Proyecto Parte 1 (P1): Blueprint, diseño de ingesta y almacenamiento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cantSplit/>
          <w:tblHeader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 en el proyecto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Estuardo Oliver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/ Analytics: asistente conversacional, analítica y recomendaciones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Winston Quispe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 Computing: infraestructura GCP, ingesta y streaming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Nicole Arenas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Datos + API + Modelado: capas medallion, modelo dimensional y API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Gianmarco Mejia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/ BI: KPIs, tableros y visualización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Fecha de entrega: 24 de octubre de 2026 · Versión 1.1</w:t>
      </w:r>
    </w:p>
    <w:p>
      <w:pPr>
        <w:spacing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Repositorio: github.com/estuardoo/STYLUS · Proyecto GCP: tranquil-leaf-512618-b9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Control del documento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cantSplit/>
          <w:tblHeader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Documento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Entrega 1: Examen (E) + Proyecto Parte 1 (P1)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Versión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1.1 (24-oct-2026): nombre STYLUS, configuración en JSON + panel web, repositorio y proyecto GCP reales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Fuente de requisitos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UTEC, “Entregables del Proyecto Final: Taller de Arquitectura Big Data” (PDF, 3 páginas)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Repositorio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Estructura y código de soporte en el repositorio del proyecto (ver Anexo A)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Datos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H&amp;M Personalized Fashion Recommendations (Kaggle). Única fuente de datos del proyecto</w:t>
            </w:r>
          </w:p>
        </w:tc>
      </w:tr>
      <w:tr>
        <w:trPr>
          <w:cantSplit/>
          <w:tblHeader w:val="false"/>
        </w:trPr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Precios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Lista pública de Google Cloud, región us-central1, consultados el 22-oct-2026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Convención de estado. </w:t>
      </w:r>
      <w:r>
        <w:rPr>
          <w:rFonts w:ascii="Arial" w:cs="Arial" w:eastAsia="Arial" w:hAnsi="Arial"/>
        </w:rPr>
        <w:t xml:space="preserve">En este documento distinguimos tres niveles de madurez para no sobredeclarar avances: </w:t>
      </w:r>
      <w:r>
        <w:rPr>
          <w:rFonts w:ascii="Arial" w:cs="Arial" w:eastAsia="Arial" w:hAnsi="Arial"/>
          <w:b/>
          <w:bCs/>
        </w:rPr>
        <w:t xml:space="preserve">diseñado</w:t>
      </w:r>
      <w:r>
        <w:rPr>
          <w:rFonts w:ascii="Arial" w:cs="Arial" w:eastAsia="Arial" w:hAnsi="Arial"/>
        </w:rPr>
        <w:t xml:space="preserve"> (decisión documentada), </w:t>
      </w:r>
      <w:r>
        <w:rPr>
          <w:rFonts w:ascii="Arial" w:cs="Arial" w:eastAsia="Arial" w:hAnsi="Arial"/>
          <w:b/>
          <w:bCs/>
        </w:rPr>
        <w:t xml:space="preserve">implementado</w:t>
      </w:r>
      <w:r>
        <w:rPr>
          <w:rFonts w:ascii="Arial" w:cs="Arial" w:eastAsia="Arial" w:hAnsi="Arial"/>
        </w:rPr>
        <w:t xml:space="preserve"> (código o configuración en el repositorio, probado localmente) y </w:t>
      </w:r>
      <w:r>
        <w:rPr>
          <w:rFonts w:ascii="Arial" w:cs="Arial" w:eastAsia="Arial" w:hAnsi="Arial"/>
          <w:b/>
          <w:bCs/>
        </w:rPr>
        <w:t xml:space="preserve">desplegado</w:t>
      </w:r>
      <w:r>
        <w:rPr>
          <w:rFonts w:ascii="Arial" w:cs="Arial" w:eastAsia="Arial" w:hAnsi="Arial"/>
        </w:rPr>
        <w:t xml:space="preserve"> (funcionando en GCP con evidencia). Para la Entrega 1 el curso exige diseño; lo implementado se indica explícitamente.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tabs>
          <w:tab w:val="right" w:pos="9026" w:leader="dot"/>
        </w:tabs>
        <w:spacing w:after="40" w:before="1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Resumen ejecutivo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40" w:before="1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Contexto de negocio y alcance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2.1 Problema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2.2 Objetivos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4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2.3 Alcance y fuera de alcance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2.4 Supuestos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5</w:t>
      </w:r>
    </w:p>
    <w:p>
      <w:pPr>
        <w:tabs>
          <w:tab w:val="right" w:pos="9026" w:leader="dot"/>
        </w:tabs>
        <w:spacing w:after="40" w:before="1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Equipo y roles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	5</w:t>
      </w:r>
    </w:p>
    <w:p>
      <w:pPr>
        <w:tabs>
          <w:tab w:val="right" w:pos="9026" w:leader="dot"/>
        </w:tabs>
        <w:spacing w:after="40" w:before="1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Inventario y perfil de datos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	6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4.1 Hallazgos de calidad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4.2 Patrones de negocio útiles para el diseño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4.3 Decisión sobre la fuente Amazon Reviews 2023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6</w:t>
      </w:r>
    </w:p>
    <w:p>
      <w:pPr>
        <w:tabs>
          <w:tab w:val="right" w:pos="9026" w:leader="dot"/>
        </w:tabs>
        <w:spacing w:after="40" w:before="1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Stack tecnológico y justificación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	7</w:t>
      </w:r>
    </w:p>
    <w:p>
      <w:pPr>
        <w:tabs>
          <w:tab w:val="right" w:pos="9026" w:leader="dot"/>
        </w:tabs>
        <w:spacing w:after="40" w:before="1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Arquitectura end-to-end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	8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6.1 Flujo batch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8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6.2 Flujo streaming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6.3 Integración multifuente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40" w:before="1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Definición de ingesta y almacenamiento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	9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7.1 Mecanismos de captura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7.2 Motores de almacenamiento y modelo medallion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9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7.3 Implementado para esta entrega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10</w:t>
      </w:r>
    </w:p>
    <w:p>
      <w:pPr>
        <w:tabs>
          <w:tab w:val="right" w:pos="9026" w:leader="dot"/>
        </w:tabs>
        <w:spacing w:after="40" w:before="1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Escalabilidad y performance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	10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8.1 Degradación controlada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8.2 Metas de performance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40" w:before="1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Justificación económica y optimización de costos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	11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9.1 Escenarios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11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9.2 Palancas de optimización aplicadas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12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9.3 Automatización de costos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12</w:t>
      </w:r>
    </w:p>
    <w:p>
      <w:pPr>
        <w:tabs>
          <w:tab w:val="right" w:pos="9026" w:leader="dot"/>
        </w:tabs>
        <w:spacing w:after="40" w:before="1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Plan de recuperación y alta disponibilidad (DRP/HA)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	12</w:t>
      </w:r>
    </w:p>
    <w:p>
      <w:pPr>
        <w:tabs>
          <w:tab w:val="right" w:pos="9026" w:leader="dot"/>
        </w:tabs>
        <w:spacing w:after="40" w:before="0"/>
        <w:ind w:left="3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10.1 Prototipo frente a producción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	13</w:t>
      </w:r>
    </w:p>
    <w:p>
      <w:pPr>
        <w:tabs>
          <w:tab w:val="right" w:pos="9026" w:leader="dot"/>
        </w:tabs>
        <w:spacing w:after="40" w:before="1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KPIs de éxito y performance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	13</w:t>
      </w:r>
    </w:p>
    <w:p>
      <w:pPr>
        <w:tabs>
          <w:tab w:val="right" w:pos="9026" w:leader="dot"/>
        </w:tabs>
        <w:spacing w:after="40" w:before="1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Seguridad y gobierno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	14</w:t>
      </w:r>
    </w:p>
    <w:p>
      <w:pPr>
        <w:tabs>
          <w:tab w:val="right" w:pos="9026" w:leader="dot"/>
        </w:tabs>
        <w:spacing w:after="40" w:before="1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Plan de trabajo por entregas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	14</w:t>
      </w:r>
    </w:p>
    <w:p>
      <w:pPr>
        <w:tabs>
          <w:tab w:val="right" w:pos="9026" w:leader="dot"/>
        </w:tabs>
        <w:spacing w:after="40" w:before="1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Riesgos y mitigaciones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	14</w:t>
      </w:r>
    </w:p>
    <w:p>
      <w:pPr>
        <w:tabs>
          <w:tab w:val="right" w:pos="9026" w:leader="dot"/>
        </w:tabs>
        <w:spacing w:after="40" w:before="1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Anexo A. Repositorio y reproducibilidad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	14</w:t>
      </w:r>
    </w:p>
    <w:p>
      <w:pPr>
        <w:tabs>
          <w:tab w:val="right" w:pos="9026" w:leader="dot"/>
        </w:tabs>
        <w:spacing w:after="40" w:before="100"/>
        <w:ind w:left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Referencias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	15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Resumen ejecutivo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Proponemos una plataforma analítica integral para un retailer de moda, construida sobre Google Cloud Platform (GCP) y alimentada con el dataset público de H&amp;M: 31.8 millones de líneas de venta de dos años, 1.37 millones de clientes y 105,542 artículos con sus imágenes. La plataforma convierte ese histórico en tres productos de valor: analítica de ventas para gerencia, recomendaciones personalizadas y un asistente de compras conversacional que propone productos reales del catálogo.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La arquitectura sigue el patrón lakehouse medallion. Cloud Storage guarda los datos originales intactos (Bronze) y sus versiones limpias en Parquet (Silver/Gold); BigQuery actúa como data warehouse; Pub/Sub y Dataflow procesan eventos en tiempo real; Cloud Run expone la API y la web; Cloud SQL mantiene el estado transaccional del carrito y los pedidos; y Vertex AI Gemini 3.1 Flash-Lite impulsa el asistente. Todo se declara con Terraform y se despliega desde GitHub.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Resultados clave del diseño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Costo estimado de producción a escala H&amp;M: USD 370.83 al mes, equivalente a USD 0.00098 por pedido procesado. Año 1 (11 meses normales + 1 mes pico Black Friday): USD 5,482. Costo de desarrollo y demo del curso: USD 19.77. Todos los componentes de cómputo son serverless o autoescalables, por lo que el costo crece con la demanda y no con la capacidad reservada.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Los tres pilares que pide el examen se resuelven así: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Escalabilidad: </w:t>
      </w:r>
      <w:r>
        <w:rPr>
          <w:rFonts w:ascii="Arial" w:cs="Arial" w:eastAsia="Arial" w:hAnsi="Arial"/>
        </w:rPr>
        <w:t xml:space="preserve">desacople por Pub/Sub, autoescalado de Dataflow y Cloud Run, y tablas particionadas en BigQuery; modelamos un pico de 5 veces el tráfico normal.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Economía: </w:t>
      </w:r>
      <w:r>
        <w:rPr>
          <w:rFonts w:ascii="Arial" w:cs="Arial" w:eastAsia="Arial" w:hAnsi="Arial"/>
        </w:rPr>
        <w:t xml:space="preserve">calculadora de costos automatizada (supuestos en YAML, Excel con fórmulas, refresco de precios desde la API oficial de facturación), presupuestos con alertas y medición del costo real por pedido.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Resiliencia: </w:t>
      </w:r>
      <w:r>
        <w:rPr>
          <w:rFonts w:ascii="Arial" w:cs="Arial" w:eastAsia="Arial" w:hAnsi="Arial"/>
        </w:rPr>
        <w:t xml:space="preserve">Bronze inmutable y versionado como punto de reconstrucción, retención de mensajes en Pub/Sub, backups y PITR en Cloud SQL, con RPO/RTO definidos por componente.</w:t>
      </w:r>
    </w:p>
    <w:p>
      <w:pPr>
        <w:pStyle w:val="Heading1"/>
      </w:pPr>
      <w:r>
        <w:rPr>
          <w:rFonts w:ascii="Arial" w:cs="Arial" w:eastAsia="Arial" w:hAnsi="Arial"/>
        </w:rPr>
        <w:t xml:space="preserve">2. Contexto de negocio y alcance</w:t>
      </w:r>
    </w:p>
    <w:p>
      <w:pPr>
        <w:pStyle w:val="Heading2"/>
      </w:pPr>
      <w:r>
        <w:rPr>
          <w:rFonts w:ascii="Arial" w:cs="Arial" w:eastAsia="Arial" w:hAnsi="Arial"/>
        </w:rPr>
        <w:t xml:space="preserve">2.1 Problema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Un retailer de moda con canal físico y online acumula millones de transacciones, pero las usa casi solo para reportes contables. Las preguntas de negocio que importan quedan sin respuesta oportuna: qué recomendar a cada cliente, qué productos empujar en temporada alta, cuánto cuesta realmente procesar un pedido y cómo reaccionar en minutos, no en días, ante un pico como Black Friday.</w:t>
      </w:r>
    </w:p>
    <w:p>
      <w:pPr>
        <w:pStyle w:val="Heading2"/>
      </w:pPr>
      <w:r>
        <w:rPr>
          <w:rFonts w:ascii="Arial" w:cs="Arial" w:eastAsia="Arial" w:hAnsi="Arial"/>
        </w:rPr>
        <w:t xml:space="preserve">2.2 Objetivos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Integrar el histórico de ventas (batch) con eventos de navegación y compra en tiempo real (streaming) en una única plataforma gobernada.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Entregar analítica confiable mediante un modelo dimensional en BigQuery y tableros en Looker Studio.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Ofrecer recomendaciones personalizadas y un asistente conversacional que solo propone artículos reales del catálogo.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Mantener el costo por pedido medible, bajo y predecible, con alertas automáticas de presupuesto.</w:t>
      </w:r>
    </w:p>
    <w:p>
      <w:pPr>
        <w:pStyle w:val="Heading2"/>
      </w:pPr>
      <w:r>
        <w:rPr>
          <w:rFonts w:ascii="Arial" w:cs="Arial" w:eastAsia="Arial" w:hAnsi="Arial"/>
        </w:rPr>
        <w:t xml:space="preserve">2.3 Alcance y fuera de alcance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alcance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Fuera de alcance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Dataset H&amp;M completo: artículos, clientes, transacciones e imágenes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Otros datasets (Amazon Reviews se descartó; ver §4.3)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Ingesta batch a GCS y BigQuery; streaming vía Pub/Sub y Dataflow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Integración con sistemas reales de una tienda (POS, ERP)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Capas Bronze, Silver y Gold; modelo estrella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Pagos reales: el saldo es simulado y no usa tarjetas ni bancos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API, recomendador, asistente Gemini y web demo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Alta disponibilidad multirregional desplegada (se diseña; el prototipo es de una región)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Tableros gerenciales y operativos; calculadora de costos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Recomendador visual con imágenes (queda como extensión)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2.4 Supuestos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La compra es una simulación: cada recarga de saldo es explícita y auditable; no hay dinero real.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Los eventos de 2026 se generan re-emitiendo transacciones reales de H&amp;M con un nuevo event_time; la fecha original se conserva en source_t_dat y todo evento lleva is_synthetic = true.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El precio de H&amp;M viene normalizado (máximo 0.59); la web aplica un factor de precio demo configurable, señalado como sintético.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Región principal us-central1 (precios de nivel 1 y disponibilidad de Gemini); los datos son públicos y anonimizados, por lo que no hay restricción de residencia.</w:t>
      </w:r>
    </w:p>
    <w:p>
      <w:pPr>
        <w:pStyle w:val="Heading1"/>
      </w:pPr>
      <w:r>
        <w:rPr>
          <w:rFonts w:ascii="Arial" w:cs="Arial" w:eastAsia="Arial" w:hAnsi="Arial"/>
        </w:rPr>
        <w:t xml:space="preserve">3. Equipo y roles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Los roles se asignaron por perfil profesional. Cada tarea tiene un responsable único y un apoyo; el seguimiento detallado está en la matriz de auditoría (docs/gestion/Matriz_Auditoria_Proyecto.xlsx).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7"/>
        <w:gridCol w:w="1770"/>
        <w:gridCol w:w="5309"/>
      </w:tblGrid>
      <w:tr>
        <w:trPr>
          <w:cantSplit/>
          <w:tblHeader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Responsabilidades principales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Estuardo Oliver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/ Analytics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Asistente con Vertex AI Gemini (function calling sobre catálogo), recomendador (baseline y contenido), features analíticas, evaluación de modelos, guion de demo y documento técnico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Winston Quispe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 Computing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Terraform, proyecto GCP e IAM, buckets y Pub/Sub, pipeline Dataflow, CI/CD con GitHub Actions, monitoreo, DRP/HA y automatización de costos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Nicole Arenas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Datos + API + Modelado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Ingesta batch y Bronze, limpieza Silver y calidad, modelo estrella Gold, diccionario de datos, API FastAPI y base transaccional Cloud SQL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Gianmarco Mejia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/ BI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Catálogo de KPIs, calculadora y tablero de costos, diagramas, tableros Looker Studio (gerencial y operativo) y presentación final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Inventario y perfil de datos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Antes de diseñar, perfilamos los archivos reales en data/raw. Las cifras de esta sección provienen de una lectura completa de cada archivo, no de la documentación del dataset.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3"/>
        <w:gridCol w:w="955"/>
        <w:gridCol w:w="1215"/>
        <w:gridCol w:w="4773"/>
      </w:tblGrid>
      <w:tr>
        <w:trPr>
          <w:cantSplit/>
          <w:tblHeader/>
        </w:trPr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Filas</w:t>
            </w:r>
          </w:p>
        </w:tc>
        <w:tc>
          <w:tcPr>
            <w:tcW w:type="dxa" w:w="4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 y clave</w:t>
            </w:r>
          </w:p>
        </w:tc>
      </w:tr>
      <w:tr>
        <w:trPr>
          <w:cantSplit/>
          <w:tblHeader w:val="false"/>
        </w:trPr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transactions_train.csv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3.49 GB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31,788,324</w:t>
            </w:r>
          </w:p>
        </w:tc>
        <w:tc>
          <w:tcPr>
            <w:tcW w:type="dxa" w:w="4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Venta por línea: t_dat, customer_id, article_id, price, sales_channel_id. 20-sep-2018 a 22-sep-2020 (734 días)</w:t>
            </w:r>
          </w:p>
        </w:tc>
      </w:tr>
      <w:tr>
        <w:trPr>
          <w:cantSplit/>
          <w:tblHeader w:val="false"/>
        </w:trPr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customers.csv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207 MB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1,371,980</w:t>
            </w:r>
          </w:p>
        </w:tc>
        <w:tc>
          <w:tcPr>
            <w:tcW w:type="dxa" w:w="4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customer_id (hash SHA-256), edad, estado de membresía, código postal hasheado</w:t>
            </w:r>
          </w:p>
        </w:tc>
      </w:tr>
      <w:tr>
        <w:trPr>
          <w:cantSplit/>
          <w:tblHeader w:val="false"/>
        </w:trPr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articles.csv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 MB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105,542</w:t>
            </w:r>
          </w:p>
        </w:tc>
        <w:tc>
          <w:tcPr>
            <w:tcW w:type="dxa" w:w="4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article_id, 47,224 product_code, 131 tipos de producto, 5 grupos de índice, descripción</w:t>
            </w:r>
          </w:p>
        </w:tc>
      </w:tr>
      <w:tr>
        <w:trPr>
          <w:cantSplit/>
          <w:tblHeader w:val="false"/>
        </w:trPr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images/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29 GB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105,100 jpg</w:t>
            </w:r>
          </w:p>
        </w:tc>
        <w:tc>
          <w:tcPr>
            <w:tcW w:type="dxa" w:w="4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Una imagen por artículo en carpetas por prefijo (442 artículos sin imagen)</w:t>
            </w:r>
          </w:p>
        </w:tc>
      </w:tr>
      <w:tr>
        <w:trPr>
          <w:cantSplit/>
          <w:tblHeader w:val="false"/>
        </w:trPr>
        <w:tc>
          <w:tcPr>
            <w:tcW w:type="dxa" w:w="2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sample_submission.csv</w:t>
            </w:r>
          </w:p>
        </w:tc>
        <w:tc>
          <w:tcPr>
            <w:tcW w:type="dxa" w:w="9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270 MB</w:t>
            </w:r>
          </w:p>
        </w:tc>
        <w:tc>
          <w:tcPr>
            <w:tcW w:type="dxa" w:w="12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1,371,980</w:t>
            </w:r>
          </w:p>
        </w:tc>
        <w:tc>
          <w:tcPr>
            <w:tcW w:type="dxa" w:w="47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Formato de predicción de la competencia; no se usa como dato de negocio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1. Inventario de la fuente H&amp;M (medido el 22-oct-2026).</w:t>
      </w:r>
    </w:p>
    <w:p>
      <w:pPr>
        <w:pStyle w:val="Heading2"/>
      </w:pPr>
      <w:r>
        <w:rPr>
          <w:rFonts w:ascii="Arial" w:cs="Arial" w:eastAsia="Arial" w:hAnsi="Arial"/>
        </w:rPr>
        <w:t xml:space="preserve">4.1 Hallazgos de calidad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2"/>
        <w:gridCol w:w="2462"/>
        <w:gridCol w:w="4102"/>
      </w:tblGrid>
      <w:tr>
        <w:trPr>
          <w:cantSplit/>
          <w:tblHeader/>
        </w:trPr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Hallazgo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Medición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Tratamiento en Silver</w:t>
            </w:r>
          </w:p>
        </w:tc>
      </w:tr>
      <w:tr>
        <w:trPr>
          <w:cantSplit/>
          <w:tblHeader w:val="false"/>
        </w:trPr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Edad faltante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15,861 clientes (1.2%)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Imputar como desconocida; segmento 'sin edad'</w:t>
            </w:r>
          </w:p>
        </w:tc>
      </w:tr>
      <w:tr>
        <w:trPr>
          <w:cantSplit/>
          <w:tblHeader w:val="false"/>
        </w:trPr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FN y Active vacíos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895,050 y 907,576 nulos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Interpretar vacío como 0 (bandera no activada)</w:t>
            </w:r>
          </w:p>
        </w:tc>
      </w:tr>
      <w:tr>
        <w:trPr>
          <w:cantSplit/>
          <w:tblHeader w:val="false"/>
        </w:trPr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Estado de membresía y newsletter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6,062 y 16,009 nulos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Categoría 'NONE'</w:t>
            </w:r>
          </w:p>
        </w:tc>
      </w:tr>
      <w:tr>
        <w:trPr>
          <w:cantSplit/>
          <w:tblHeader w:val="false"/>
        </w:trPr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Descripción de artículo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416 nulos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Usar nombre y tipo de producto como respaldo</w:t>
            </w:r>
          </w:p>
        </w:tc>
      </w:tr>
      <w:tr>
        <w:trPr>
          <w:cantSplit/>
          <w:tblHeader w:val="false"/>
        </w:trPr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Precio normalizado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Máximo 0.59; sin moneda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conserva; factor de precio demo solo en la web</w:t>
            </w:r>
          </w:p>
        </w:tc>
      </w:tr>
      <w:tr>
        <w:trPr>
          <w:cantSplit/>
          <w:tblHeader w:val="false"/>
        </w:trPr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Pedido no explícito</w:t>
            </w:r>
          </w:p>
        </w:tc>
        <w:tc>
          <w:tcPr>
            <w:tcW w:type="dxa" w:w="24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 order_id</w:t>
            </w:r>
          </w:p>
        </w:tc>
        <w:tc>
          <w:tcPr>
            <w:tcW w:type="dxa" w:w="4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Pedido = cliente + día: 9,080,179 pedidos, 3.5 líneas de media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2. Calidad de datos y regla de tratamiento.</w:t>
      </w:r>
    </w:p>
    <w:p>
      <w:pPr>
        <w:pStyle w:val="Heading2"/>
      </w:pPr>
      <w:r>
        <w:rPr>
          <w:rFonts w:ascii="Arial" w:cs="Arial" w:eastAsia="Arial" w:hAnsi="Arial"/>
        </w:rPr>
        <w:t xml:space="preserve">4.2 Patrones de negocio útiles para el diseño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Volumen: </w:t>
      </w:r>
      <w:r>
        <w:rPr>
          <w:rFonts w:ascii="Arial" w:cs="Arial" w:eastAsia="Arial" w:hAnsi="Arial"/>
        </w:rPr>
        <w:t xml:space="preserve">~1.32 millones de líneas y ~377 mil pedidos por mes; el mes más alto (junio de 2019, 1.91 millones de líneas) es 1.44 veces el promedio.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Canal: </w:t>
      </w:r>
      <w:r>
        <w:rPr>
          <w:rFonts w:ascii="Arial" w:cs="Arial" w:eastAsia="Arial" w:hAnsi="Arial"/>
        </w:rPr>
        <w:t xml:space="preserve">70.4% de las líneas son del canal online (22.4 millones) y 29.6% de tienda física.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Caso bebé: </w:t>
      </w:r>
      <w:r>
        <w:rPr>
          <w:rFonts w:ascii="Arial" w:cs="Arial" w:eastAsia="Arial" w:hAnsi="Arial"/>
        </w:rPr>
        <w:t xml:space="preserve">34,711 artículos pertenecen al grupo Baby/Children (8,875 de ellos con tallas de bebé), por lo que el caso de demo “necesito algo para mi bebé” se resuelve con catálogo real.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Privacidad: </w:t>
      </w:r>
      <w:r>
        <w:rPr>
          <w:rFonts w:ascii="Arial" w:cs="Arial" w:eastAsia="Arial" w:hAnsi="Arial"/>
        </w:rPr>
        <w:t xml:space="preserve">customer_id y postal_code ya vienen seudonimizados con hash; no hay nombres, correos ni teléfonos.</w:t>
      </w:r>
    </w:p>
    <w:p>
      <w:pPr>
        <w:pStyle w:val="Heading2"/>
      </w:pPr>
      <w:r>
        <w:rPr>
          <w:rFonts w:ascii="Arial" w:cs="Arial" w:eastAsia="Arial" w:hAnsi="Arial"/>
        </w:rPr>
        <w:t xml:space="preserve">4.3 Decisión sobre la fuente Amazon Reviews 2023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Evaluamos Amazon Reviews 2023 como segunda fuente. La descartamos porque sus identificadores (ASIN, user_id) no comparten espacio con los de H&amp;M y tres de las seis categorías descargadas no tienen relación con moda. Unir ambas fuentes sin una clave común habría requerido inventar correspondencias. Los archivos quedan archivados fuera del repositorio.</w:t>
      </w:r>
    </w:p>
    <w:p>
      <w:pPr>
        <w:pStyle w:val="Heading1"/>
      </w:pPr>
      <w:r>
        <w:rPr>
          <w:rFonts w:ascii="Arial" w:cs="Arial" w:eastAsia="Arial" w:hAnsi="Arial"/>
        </w:rPr>
        <w:t xml:space="preserve">5. Stack tecnológico y justificación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Priorizamos componentes de GCP vistos en clase, serverless y con pago por uso. Cada decisión se tomó frente a una alternativa concreta.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986"/>
        <w:gridCol w:w="3249"/>
        <w:gridCol w:w="2347"/>
      </w:tblGrid>
      <w:tr>
        <w:trPr>
          <w:cantSplit/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 elegido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qué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 descartada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Lake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 Storage (2 buckets privados)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Barato (USD 0.020/GB-mes), durable, versionado; desacopla almacenamiento de cómputo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HDFS en Dataproc: paga nodos encendidos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 Warehouse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BigQuery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Serverless, SQL estándar, particionado y clustering; 1 TiB de consulta gratis al mes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 SQL para analítica: no escala a 31.8M filas con consultas ad hoc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Ingesta streaming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Pub/Sub + suscripción BigQuery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Absorbe picos, retiene mensajes, DLQ nativa; la suscripción BQ evita un job permanente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Kafka autogestionado: operación y costo fijo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Procesamiento streaming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Dataflow (Apache Beam)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Ventanas, deduplicación, datos tardíos y autoescalado; mismo código batch/stream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 Functions: sin estado ni ventanas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Procesamiento batch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Serverless for Apache Spark (Dataproc) + BigQuery SQL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Spark sin clúster para limpieza a Parquet; SQL para Gold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Clúster Dataproc permanente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OLTP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 SQL PostgreSQL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ACID para carrito, pedidos y ledger del saldo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BigQuery: no es transaccional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 y web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 Run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Contenedores que escalan a cero; 2M requests gratis/mes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GKE: sobredimensionado para el caso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IA generativa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Vertex AI Gemini 3.1 Flash-Lite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Gemini más económico vigente en Vertex AI (USD 0.25/1.50 por millón de tokens); salida estructurada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 propio en GPU: costo fijo alto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Looker Studio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licencia, conector nativo a BigQuery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Tableau/Power BI: licencias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IaC y CI/CD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Terraform + GitHub Actions (WIF)</w:t>
            </w:r>
          </w:p>
        </w:tc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Infraestructura reproducible; sin llaves permanentes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Configuración manual en consola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3. Decisiones tecnológicas (ADR resumidos).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Sobre el costo de Vertex AI Gemini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 en Vertex AI no es gratuito, pero su costo es marginal: una conversación típica (≈3,000 tokens de entrada y 400 de salida) cuesta alrededor de USD 0.0014. Mil conversaciones de prueba cuestan unos USD 1.40, y los créditos de bienvenida de GCP (USD 300 para cuentas nuevas) cubren holgadamente el proyecto. Se limita además con cuotas por minuto y con el presupuesto con alertas descrito en §9.3.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</w:rPr>
        <w:t xml:space="preserve">6. Arquitectura end-to-end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La Figura 1 muestra las cinco capas que exige P1 (ingesta, almacenamiento, cómputo y exposición, más las fuentes) y los componentes transversales de seguridad, operación y costos.</w:t>
      </w:r>
    </w:p>
    <w:p>
      <w:pPr>
        <w:spacing w:after="0"/>
        <w:jc w:val="center"/>
      </w:pPr>
      <w:r>
        <w:drawing>
          <wp:inline distT="0" distB="0" distL="0" distR="0">
            <wp:extent cx="5524500" cy="7029450"/>
            <wp:effectExtent t="0" r="0" b="0" l="0"/>
            <wp:docPr id="1" name="arquitectura" descr="Arquitectura end-to-end de la plataforma" title="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Figura 1. Arquitectura end-to-end (fuente regenerable: docs/architecture/arquitectura_vertical.dot).</w:t>
      </w:r>
    </w:p>
    <w:p>
      <w:pPr>
        <w:pStyle w:val="Heading2"/>
      </w:pPr>
      <w:r>
        <w:rPr>
          <w:rFonts w:ascii="Arial" w:cs="Arial" w:eastAsia="Arial" w:hAnsi="Arial"/>
        </w:rPr>
        <w:t xml:space="preserve">6.1 Flujo batch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upload_raw.py calcula un manifiesto (SHA-256, bytes, filas, columnas) y sincroniza data/raw con el bucket raw mediante gcloud storage rsync. Reejecutar no duplica datos.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BigQuery lee los CSV de Bronze como tablas externas y materializa transactions particionada por día y agrupada por cliente y artículo (sql/bronze/01_bronze_hm.sql).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Serverless Spark limpia y tipa hacia Silver en Parquet; BigQuery SQL construye el modelo estrella Gold.</w:t>
      </w:r>
    </w:p>
    <w:p>
      <w:pPr>
        <w:pStyle w:val="Heading2"/>
      </w:pPr>
      <w:r>
        <w:rPr>
          <w:rFonts w:ascii="Arial" w:cs="Arial" w:eastAsia="Arial" w:hAnsi="Arial"/>
        </w:rPr>
        <w:t xml:space="preserve">6.2 Flujo streaming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El publicador replay_publisher.py re-emite transacciones reales como eventos de 2026 hacia el tópico retail-events. Cada evento lleva event_id determinista (idempotencia), event_time 2026, source_t_dat original y la marca is_synthetic.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Ruta económica: una suscripción Pub/Sub → BigQuery escribe los mensajes crudos en retail_bronze.events_raw sin ningún job intermedio.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Ruta enriquecida (ventana de demo): Dataflow lee la suscripción dedicada, deduplica por event_id, agrega en ventanas de 1 minuto, maneja datos tardíos y envía errores a la DLQ.</w:t>
      </w:r>
    </w:p>
    <w:p>
      <w:pPr>
        <w:pStyle w:val="Heading2"/>
      </w:pPr>
      <w:r>
        <w:rPr>
          <w:rFonts w:ascii="Arial" w:cs="Arial" w:eastAsia="Arial" w:hAnsi="Arial"/>
        </w:rPr>
        <w:t xml:space="preserve">6.3 Integración multifuente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El histórico batch y el flujo streaming se cruzan por las claves naturales de H&amp;M (article_id y customer_id), que son las mismas en ambos caminos porque el streaming re-emite registros del propio dataset. Para no mezclar historia con simulación separamos dos relojes: source_t_dat (fecha real, nunca se reescribe) y event_time (fecha simulada 2026). Toda tabla lleva _source_system y _ingested_at para trazabilidad.</w:t>
      </w:r>
    </w:p>
    <w:p>
      <w:pPr>
        <w:pStyle w:val="Heading1"/>
      </w:pPr>
      <w:r>
        <w:rPr>
          <w:rFonts w:ascii="Arial" w:cs="Arial" w:eastAsia="Arial" w:hAnsi="Arial"/>
        </w:rPr>
        <w:t xml:space="preserve">7. Definición de ingesta y almacenamiento</w:t>
      </w:r>
    </w:p>
    <w:p>
      <w:pPr>
        <w:pStyle w:val="Heading2"/>
      </w:pPr>
      <w:r>
        <w:rPr>
          <w:rFonts w:ascii="Arial" w:cs="Arial" w:eastAsia="Arial" w:hAnsi="Arial"/>
        </w:rPr>
        <w:t xml:space="preserve">7.1 Mecanismos de captura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445"/>
        <w:gridCol w:w="1504"/>
        <w:gridCol w:w="2820"/>
      </w:tblGrid>
      <w:tr>
        <w:trPr>
          <w:cantSplit/>
          <w:tblHeader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Flujo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Garantías</w:t>
            </w:r>
          </w:p>
        </w:tc>
      </w:tr>
      <w:tr>
        <w:trPr>
          <w:cantSplit/>
          <w:tblHeader w:val="false"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Histórico H&amp;M (CSV + imágenes)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gcloud storage rsync + manifiesto SHA-256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Carga inicial y reprocesos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Idempotente; checksum y conteo por archivo</w:t>
            </w:r>
          </w:p>
        </w:tc>
      </w:tr>
      <w:tr>
        <w:trPr>
          <w:cantSplit/>
          <w:tblHeader w:val="false"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Eventos de compra/navegación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Pub/Sub (tópico retail-events)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Continuo, segundos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Entrega al menos una vez; dedup por event_id; DLQ tras 5 intentos</w:t>
            </w:r>
          </w:p>
        </w:tc>
      </w:tr>
      <w:tr>
        <w:trPr>
          <w:cantSplit/>
          <w:tblHeader w:val="false"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Pedidos y saldo de la web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Cloud SQL (escritura transaccional)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 línea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ACID; clave de idempotencia por checkout</w:t>
            </w:r>
          </w:p>
        </w:tc>
      </w:tr>
      <w:tr>
        <w:trPr>
          <w:cantSplit/>
          <w:tblHeader w:val="false"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Costos de la plataforma</w:t>
            </w:r>
          </w:p>
        </w:tc>
        <w:tc>
          <w:tcPr>
            <w:tcW w:type="dxa" w:w="24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Billing export a BigQuery</w:t>
            </w:r>
          </w:p>
        </w:tc>
        <w:tc>
          <w:tcPr>
            <w:tcW w:type="dxa" w:w="15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Diario</w:t>
            </w:r>
          </w:p>
        </w:tc>
        <w:tc>
          <w:tcPr>
            <w:tcW w:type="dxa" w:w="2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Fuente oficial de facturación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4. Mecanismos de captura.</w:t>
      </w:r>
    </w:p>
    <w:p>
      <w:pPr>
        <w:pStyle w:val="Heading2"/>
      </w:pPr>
      <w:r>
        <w:rPr>
          <w:rFonts w:ascii="Arial" w:cs="Arial" w:eastAsia="Arial" w:hAnsi="Arial"/>
        </w:rPr>
        <w:t xml:space="preserve">7.2 Motores de almacenamiento y modelo medallion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7"/>
        <w:gridCol w:w="1947"/>
        <w:gridCol w:w="1593"/>
        <w:gridCol w:w="2389"/>
        <w:gridCol w:w="1770"/>
      </w:tblGrid>
      <w:tr>
        <w:trPr>
          <w:cantSplit/>
          <w:tblHeader/>
        </w:trPr>
        <w:tc>
          <w:tcPr>
            <w:tcW w:type="dxa" w:w="1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Motor y ubicación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2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Política</w:t>
            </w:r>
          </w:p>
        </w:tc>
      </w:tr>
      <w:tr>
        <w:trPr>
          <w:cantSplit/>
          <w:tblHeader w:val="false"/>
        </w:trPr>
        <w:tc>
          <w:tcPr>
            <w:tcW w:type="dxa" w:w="1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Bronze</w:t>
            </w:r>
          </w:p>
        </w:tc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GCS raw (gs://…-retail-raw/hm/) + BigQuery retail_bronze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CSV/JPG originales; tablas externas y events_raw</w:t>
            </w:r>
          </w:p>
        </w:tc>
        <w:tc>
          <w:tcPr>
            <w:tcW w:type="dxa" w:w="2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Copia exacta de H&amp;M y eventos crudos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Inmutable, versionado, imágenes a Nearline a los 30 días</w:t>
            </w:r>
          </w:p>
        </w:tc>
      </w:tr>
      <w:tr>
        <w:trPr>
          <w:cantSplit/>
          <w:tblHeader w:val="false"/>
        </w:trPr>
        <w:tc>
          <w:tcPr>
            <w:tcW w:type="dxa" w:w="1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Silver</w:t>
            </w:r>
          </w:p>
        </w:tc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GCS lake + BigQuery retail_silver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Parquet particionado por fecha</w:t>
            </w:r>
          </w:p>
        </w:tc>
        <w:tc>
          <w:tcPr>
            <w:tcW w:type="dxa" w:w="2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Datos tipados, sin duplicados, nulos tratados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Reproducible desde Bronze</w:t>
            </w:r>
          </w:p>
        </w:tc>
      </w:tr>
      <w:tr>
        <w:trPr>
          <w:cantSplit/>
          <w:tblHeader w:val="false"/>
        </w:trPr>
        <w:tc>
          <w:tcPr>
            <w:tcW w:type="dxa" w:w="1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Gold</w:t>
            </w:r>
          </w:p>
        </w:tc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BigQuery retail_gold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Tablas nativas particionadas</w:t>
            </w:r>
          </w:p>
        </w:tc>
        <w:tc>
          <w:tcPr>
            <w:tcW w:type="dxa" w:w="2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Modelo estrella: fact_sales, fact_orders, dim_article, dim_customer, dim_date, dim_channel; features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Optimizado para consumo</w:t>
            </w:r>
          </w:p>
        </w:tc>
      </w:tr>
      <w:tr>
        <w:trPr>
          <w:cantSplit/>
          <w:tblHeader w:val="false"/>
        </w:trPr>
        <w:tc>
          <w:tcPr>
            <w:tcW w:type="dxa" w:w="1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Operación</w:t>
            </w:r>
          </w:p>
        </w:tc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BigQuery retail_ops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Tablas y vistas</w:t>
            </w:r>
          </w:p>
        </w:tc>
        <w:tc>
          <w:tcPr>
            <w:tcW w:type="dxa" w:w="2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Calidad, lag de streaming, costos reales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Retención 13 meses</w:t>
            </w:r>
          </w:p>
        </w:tc>
      </w:tr>
      <w:tr>
        <w:trPr>
          <w:cantSplit/>
          <w:tblHeader w:val="false"/>
        </w:trPr>
        <w:tc>
          <w:tcPr>
            <w:tcW w:type="dxa" w:w="1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Transaccional</w:t>
            </w:r>
          </w:p>
        </w:tc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 SQL PostgreSQL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Relacional</w:t>
            </w:r>
          </w:p>
        </w:tc>
        <w:tc>
          <w:tcPr>
            <w:tcW w:type="dxa" w:w="23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Usuarios demo, carrito, pedidos, wallet y ledger</w:t>
            </w:r>
          </w:p>
        </w:tc>
        <w:tc>
          <w:tcPr>
            <w:tcW w:type="dxa" w:w="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Backups diarios + PITR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5. Motores de almacenamiento por capa.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No usamos una base NoSQL (Bigtable o Firestore): el acceso por clave de baja latencia que justificaría una se cubre con Cloud SQL para el estado del usuario y con BigQuery más una caché en memoria de la API para las recomendaciones precalculadas. Una NoSQL agregaría costo fijo sin un caso de uso que la requiera.</w:t>
      </w:r>
    </w:p>
    <w:p>
      <w:pPr>
        <w:pStyle w:val="Heading2"/>
      </w:pPr>
      <w:r>
        <w:rPr>
          <w:rFonts w:ascii="Arial" w:cs="Arial" w:eastAsia="Arial" w:hAnsi="Arial"/>
        </w:rPr>
        <w:t xml:space="preserve">7.3 Implementado para esta entrega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2708"/>
        <w:gridCol w:w="2256"/>
      </w:tblGrid>
      <w:tr>
        <w:trPr>
          <w:cantSplit/>
          <w:tblHeader/>
        </w:trPr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Artefacto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 en el repositorio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  <w:tblHeader w:val="false"/>
        </w:trPr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Infraestructura: buckets privados, datasets por capa, Pub/Sub + DLQ + suscripción BQ, cuentas de servicio, presupuesto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infra/terraform/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Implementado; pendiente de plan/apply en GCP</w:t>
            </w:r>
          </w:p>
        </w:tc>
      </w:tr>
      <w:tr>
        <w:trPr>
          <w:cantSplit/>
          <w:tblHeader w:val="false"/>
        </w:trPr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Ingesta batch con manifiesto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ingestion/batch/upload_raw.py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 y probado localmente</w:t>
            </w:r>
          </w:p>
        </w:tc>
      </w:tr>
      <w:tr>
        <w:trPr>
          <w:cantSplit/>
          <w:tblHeader w:val="false"/>
        </w:trPr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Bronze en BigQuery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sql/bronze/01_bronze_hm.sql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Implementado; pendiente de ejecución en GCP</w:t>
            </w:r>
          </w:p>
        </w:tc>
      </w:tr>
      <w:tr>
        <w:trPr>
          <w:cantSplit/>
          <w:tblHeader w:val="false"/>
        </w:trPr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Publicador streaming 2026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ingestion/streaming/replay_publisher.py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Implementado; pruebas unitarias OK</w:t>
            </w:r>
          </w:p>
        </w:tc>
      </w:tr>
      <w:tr>
        <w:trPr>
          <w:cantSplit/>
          <w:tblHeader w:val="false"/>
        </w:trPr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Calculadora de costos automatizada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cost/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Implementado y ejecutado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Escalabilidad y performance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Dimensionamos con los datos reales. En operación normal H&amp;M procesa ~12,400 pedidos diarios (~43,000 líneas). Suponiendo 20 eventos de navegación por línea comprada, el tráfico medio es de ~10 eventos por segundo. Para Black Friday modelamos 5 veces el volumen mensual y una hora punta 50 veces superior a la media: ~500 eventos por segundo.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4"/>
        <w:gridCol w:w="1805"/>
        <w:gridCol w:w="3159"/>
        <w:gridCol w:w="2528"/>
      </w:tblGrid>
      <w:tr>
        <w:trPr>
          <w:cantSplit/>
          <w:tblHeader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escala</w:t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Comportamiento en el pico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Límite / control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Pub/Sub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Automático, sin aprovisionar</w:t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Absorbe ráfagas y retiene 7 días si el consumidor se atrasa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Cuota de publicación por región; alerta por backlog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Dataflow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Autoescalado horizontal de workers</w:t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Pasa de 1 a N workers según backlog; Streaming Engine separa estado y cómputo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max_num_workers acotado para el presupuesto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BigQuery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Slots bajo demanda</w:t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Consultas sobre particiones del día; clustering por cliente y artículo reduce bytes escaneados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Costo por TiB; require_partition_filter evita escaneos completos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Run (API/web)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Instancias por concurrencia</w:t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 0 a decenas de instancias en segundos; 80 requests concurrentes por instancia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max-instances y min-instances=1 en temporada alta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SQL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Vertical + réplicas de lectura</w:t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Solo escrituras de carrito y pedidos; las lecturas analíticas van a BigQuery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Pool de conexiones; réplica para lecturas</w:t>
            </w:r>
          </w:p>
        </w:tc>
      </w:tr>
      <w:tr>
        <w:trPr>
          <w:cantSplit/>
          <w:tblHeader w:val="false"/>
        </w:trPr>
        <w:tc>
          <w:tcPr>
            <w:tcW w:type="dxa" w:w="1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Vertex AI Gemini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Servicio gestionado</w:t>
            </w:r>
          </w:p>
        </w:tc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Respuestas en ~1 s; caché de recomendaciones por segmento</w:t>
            </w:r>
          </w:p>
        </w:tc>
        <w:tc>
          <w:tcPr>
            <w:tcW w:type="dxa" w:w="25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Cuota por minuto; respaldo a recomendador por reglas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6. Estrategia de escalado por componente.</w:t>
      </w:r>
    </w:p>
    <w:p>
      <w:pPr>
        <w:pStyle w:val="Heading2"/>
      </w:pPr>
      <w:r>
        <w:rPr>
          <w:rFonts w:ascii="Arial" w:cs="Arial" w:eastAsia="Arial" w:hAnsi="Arial"/>
        </w:rPr>
        <w:t xml:space="preserve">8.1 Degradación controlada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Si Gemini supera su cuota, el asistente responde con recomendaciones por popularidad del segmento, sin bloquear la compra.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Si Dataflow se atrasa, la suscripción directa a BigQuery sigue registrando los eventos crudos; los agregados se recalculan después.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Si Cloud SQL se satura, el checkout responde con reintento y clave de idempotencia; nunca cobra dos veces.</w:t>
      </w:r>
    </w:p>
    <w:p>
      <w:pPr>
        <w:pStyle w:val="Heading2"/>
      </w:pPr>
      <w:r>
        <w:rPr>
          <w:rFonts w:ascii="Arial" w:cs="Arial" w:eastAsia="Arial" w:hAnsi="Arial"/>
        </w:rPr>
        <w:t xml:space="preserve">8.2 Metas de performance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Latencia p95 de la API menor a 500 ms (sin asistente) y menor a 3 s con Gemini; lag de streaming p95 menor a 60 s entre publicación y disponibilidad en BigQuery; consultas Gold de tablero menores a 5 s.</w:t>
      </w:r>
    </w:p>
    <w:p>
      <w:pPr>
        <w:pStyle w:val="Heading1"/>
      </w:pPr>
      <w:r>
        <w:rPr>
          <w:rFonts w:ascii="Arial" w:cs="Arial" w:eastAsia="Arial" w:hAnsi="Arial"/>
        </w:rPr>
        <w:t xml:space="preserve">9. Justificación económica y optimización de costos</w:t>
      </w:r>
    </w:p>
    <w:p>
      <w:pPr>
        <w:pStyle w:val="Heading2"/>
      </w:pPr>
      <w:r>
        <w:rPr>
          <w:rFonts w:ascii="Arial" w:cs="Arial" w:eastAsia="Arial" w:hAnsi="Arial"/>
        </w:rPr>
        <w:t xml:space="preserve">9.1 Escenarios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La calculadora (cost/assumptions.yaml → cost/output/cost_estimate.xlsx) estima el costo mensual por servicio en cuatro escenarios. Los volúmenes de producción salen del perfil real de H&amp;M: 377,000 pedidos al mes. Precios de lista en us-central1, consultados el 22-oct-2026, aplicando los niveles gratuitos mensuales.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7"/>
        <w:gridCol w:w="1681"/>
        <w:gridCol w:w="1681"/>
        <w:gridCol w:w="1858"/>
        <w:gridCol w:w="1859"/>
      </w:tblGrid>
      <w:tr>
        <w:trPr>
          <w:cantSplit/>
          <w:tblHeader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Desarrollo (curso)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Demo / sustentación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Producción (escala H&amp;M)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Pico Black Friday (5×)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Storage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0.80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0.54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1.50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1.70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BigQuery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0.04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0.10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44.75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120.15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Pub/Sub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0.05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0.10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2.31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13.11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Dataflow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0.00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3.95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120.21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360.64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Serverless Spark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0.96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0.48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3.60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7.20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Run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0.00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0.00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34.26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195.36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SQL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4.70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3.50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28.95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29.80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Vertex AI Gemini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1.50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2.75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135.00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675.00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Artifact Registry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0.15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0.15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0.25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0.25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mensual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8.20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11.57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370.83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1,403.21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Pedidos / mes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20,000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377,000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1,885,000</w:t>
            </w:r>
          </w:p>
        </w:tc>
      </w:tr>
      <w:tr>
        <w:trPr>
          <w:cantSplit/>
          <w:tblHeader w:val="false"/>
        </w:trPr>
        <w:tc>
          <w:tcPr>
            <w:tcW w:type="dxa" w:w="1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Costo por pedido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0.00164</w:t>
            </w:r>
          </w:p>
        </w:tc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0.00058</w:t>
            </w:r>
          </w:p>
        </w:tc>
        <w:tc>
          <w:tcPr>
            <w:tcW w:type="dxa" w:w="18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0.00098</w:t>
            </w:r>
          </w:p>
        </w:tc>
        <w:tc>
          <w:tcPr>
            <w:tcW w:type="dxa" w:w="18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0.00074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7. Costo mensual estimado por servicio y escenario (USD).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Costo por pedido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producción la plataforma cuesta USD 0.00098 por pedido (menos de una décima de centavo). En el pico de Black Friday baja a USD 0.00074, porque los costos fijos (Cloud SQL, almacenamiento) se reparten entre más pedidos y el resto escala con el uso. El año 1 completo se estima en USD 5,482.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9.2 Palancas de optimización aplicadas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Serverless y escala a cero: </w:t>
      </w:r>
      <w:r>
        <w:rPr>
          <w:rFonts w:ascii="Arial" w:cs="Arial" w:eastAsia="Arial" w:hAnsi="Arial"/>
        </w:rPr>
        <w:t xml:space="preserve">Cloud Run, Serverless Spark y BigQuery no cobran sin uso.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Ruta streaming sin job permanente: </w:t>
      </w:r>
      <w:r>
        <w:rPr>
          <w:rFonts w:ascii="Arial" w:cs="Arial" w:eastAsia="Arial" w:hAnsi="Arial"/>
        </w:rPr>
        <w:t xml:space="preserve">la suscripción Pub/Sub → BigQuery cuesta USD 50/TiB sin cargos de ingesta; Dataflow se enciende solo cuando se necesita enriquecimiento con ventanas.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Menos bytes escaneados: </w:t>
      </w:r>
      <w:r>
        <w:rPr>
          <w:rFonts w:ascii="Arial" w:cs="Arial" w:eastAsia="Arial" w:hAnsi="Arial"/>
        </w:rPr>
        <w:t xml:space="preserve">particionado por fecha, clustering y filtro de partición obligatorio; Parquet columnar en Silver.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Ciclo de vida del almacenamiento: </w:t>
      </w:r>
      <w:r>
        <w:rPr>
          <w:rFonts w:ascii="Arial" w:cs="Arial" w:eastAsia="Arial" w:hAnsi="Arial"/>
        </w:rPr>
        <w:t xml:space="preserve">las 105,100 imágenes (29 GB) pasan a Nearline a los 30 días, a la mitad del precio.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Modelo de IA más barato: </w:t>
      </w:r>
      <w:r>
        <w:rPr>
          <w:rFonts w:ascii="Arial" w:cs="Arial" w:eastAsia="Arial" w:hAnsi="Arial"/>
        </w:rPr>
        <w:t xml:space="preserve">Gemini 3.1 Flash-Lite (el modelo se cambia desde config/control_plataforma.json) y caché de respuestas frecuentes.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Región de nivel 1: </w:t>
      </w:r>
      <w:r>
        <w:rPr>
          <w:rFonts w:ascii="Arial" w:cs="Arial" w:eastAsia="Arial" w:hAnsi="Arial"/>
        </w:rPr>
        <w:t xml:space="preserve">us-central1 tiene las tarifas más bajas para Cloud Run y Dataflow.</w:t>
      </w:r>
    </w:p>
    <w:p>
      <w:pPr>
        <w:pStyle w:val="Heading2"/>
      </w:pPr>
      <w:r>
        <w:rPr>
          <w:rFonts w:ascii="Arial" w:cs="Arial" w:eastAsia="Arial" w:hAnsi="Arial"/>
        </w:rPr>
        <w:t xml:space="preserve">9.3 Automatización de costos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El control de costos no depende de revisiones manuales. Implementamos tres mecanismos que se refuerzan entre sí: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4513"/>
        <w:gridCol w:w="2708"/>
      </w:tblGrid>
      <w:tr>
        <w:trPr>
          <w:cantSplit/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Estimador automatizado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Supuestos en un único YAML; un script genera el Excel con fórmulas y el resumen. Con --refresh-prices consulta la API Cloud Billing Catalog y actualiza las tarifas con fecha. Corre en cada push (CI).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cost/estimate_costs.py (--refresh-prices)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Presupuesto con alertas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Budget por proyecto con umbrales del 50%, 90% y 100% (real) y 100% (pronosticado); publica en un tópico Pub/Sub para notificar o apagar recursos de demo.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infra/terraform/main.tf (google_billing_budget)</w:t>
            </w:r>
          </w:p>
        </w:tc>
      </w:tr>
      <w:tr>
        <w:trPr>
          <w:cantSplit/>
          <w:tblHeader w:val="false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Costo real por pedido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Billing export a BigQuery + vista que cruza costo diario por servicio con pedidos procesados en Gold; alimenta el tablero de costos.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cost/real_cost_per_order.sql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8. Mecanismos de automatización de costos.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El ciclo se cierra comparando lo estimado (mecanismo 1) con lo facturado (mecanismo 3) y recalibrando los supuestos; esa comparación forma parte de la Entrega 3.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Nota: </w:t>
      </w:r>
      <w:r>
        <w:rPr>
          <w:rFonts w:ascii="Arial" w:cs="Arial" w:eastAsia="Arial" w:hAnsi="Arial"/>
          <w:i/>
          <w:iCs/>
        </w:rPr>
        <w:t xml:space="preserve">son estimaciones con precios de lista, no una cotización. Deben validarse en la calculadora oficial https://cloud.google.com/products/calculator; el costo final depende del uso real.</w:t>
      </w:r>
    </w:p>
    <w:p>
      <w:pPr>
        <w:pStyle w:val="Heading1"/>
      </w:pPr>
      <w:r>
        <w:rPr>
          <w:rFonts w:ascii="Arial" w:cs="Arial" w:eastAsia="Arial" w:hAnsi="Arial"/>
        </w:rPr>
        <w:t xml:space="preserve">10. Plan de recuperación y alta disponibilidad (DRP/HA)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El principio central es que todo dato derivado puede reconstruirse desde Bronze, que es inmutable y versionado. Por eso la pérdida de cualquier capa de cómputo o de Silver/Gold se resuelve reprocesando, y la protección se concentra en Bronze y en el estado transaccional.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8"/>
        <w:gridCol w:w="1750"/>
        <w:gridCol w:w="3316"/>
        <w:gridCol w:w="921"/>
        <w:gridCol w:w="1381"/>
      </w:tblGrid>
      <w:tr>
        <w:trPr>
          <w:cantSplit/>
          <w:tblHeader/>
        </w:trPr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Falla considerada</w:t>
            </w: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Protección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RPO</w:t>
            </w:r>
          </w:p>
        </w:tc>
        <w:tc>
          <w:tcPr>
            <w:tcW w:type="dxa" w:w="1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RTO</w:t>
            </w:r>
          </w:p>
        </w:tc>
      </w:tr>
      <w:tr>
        <w:trPr>
          <w:cantSplit/>
          <w:tblHeader w:val="false"/>
        </w:trPr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GCS raw (Bronze)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Borrado o sobrescritura accidental</w:t>
            </w: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Versionado de objetos, acceso uniforme, sin acceso público; durabilidad 11 nueves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15 min</w:t>
            </w:r>
          </w:p>
        </w:tc>
      </w:tr>
      <w:tr>
        <w:trPr>
          <w:cantSplit/>
          <w:tblHeader w:val="false"/>
        </w:trPr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BigQuery Silver/Gold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Tabla dañada o borrada</w:t>
            </w: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 travel 7 días + reproceso desde Bronze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1 h</w:t>
            </w:r>
          </w:p>
        </w:tc>
      </w:tr>
      <w:tr>
        <w:trPr>
          <w:cantSplit/>
          <w:tblHeader w:val="false"/>
        </w:trPr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Pub/Sub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Consumidor caído</w:t>
            </w: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Retención de mensajes no confirmados (7 días), DLQ, seek para reprocesar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15 min</w:t>
            </w:r>
          </w:p>
        </w:tc>
      </w:tr>
      <w:tr>
        <w:trPr>
          <w:cantSplit/>
          <w:tblHeader w:val="false"/>
        </w:trPr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Dataflow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Falla del job o de workers</w:t>
            </w: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Reemplazo automático de workers; relanzamiento desde plantilla; la suscripción BQ sigue capturando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30 min</w:t>
            </w:r>
          </w:p>
        </w:tc>
      </w:tr>
      <w:tr>
        <w:trPr>
          <w:cantSplit/>
          <w:tblHeader w:val="false"/>
        </w:trPr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SQL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Corrupción o falla de zona</w:t>
            </w: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Backup diario + recuperación a un punto en el tiempo (PITR); en producción, instancia HA regional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≤ 5 min</w:t>
            </w:r>
          </w:p>
        </w:tc>
        <w:tc>
          <w:tcPr>
            <w:tcW w:type="dxa" w:w="1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1 h (prototipo) / ~1 min (HA)</w:t>
            </w:r>
          </w:p>
        </w:tc>
      </w:tr>
      <w:tr>
        <w:trPr>
          <w:cantSplit/>
          <w:tblHeader w:val="false"/>
        </w:trPr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Run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Falla de zona</w:t>
            </w: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Servicio regional multizona por defecto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Segundos</w:t>
            </w:r>
          </w:p>
        </w:tc>
      </w:tr>
      <w:tr>
        <w:trPr>
          <w:cantSplit/>
          <w:tblHeader w:val="false"/>
        </w:trPr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Región completa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Caída de us-central1</w:t>
            </w: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Terraform reproduce todo en una segunda región; Bronze en dual-region en producción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≤ 24 h (prototipo)</w:t>
            </w:r>
          </w:p>
        </w:tc>
        <w:tc>
          <w:tcPr>
            <w:tcW w:type="dxa" w:w="1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4 h</w:t>
            </w:r>
          </w:p>
        </w:tc>
      </w:tr>
      <w:tr>
        <w:trPr>
          <w:cantSplit/>
          <w:tblHeader w:val="false"/>
        </w:trPr>
        <w:tc>
          <w:tcPr>
            <w:tcW w:type="dxa" w:w="1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 de Terraform</w:t>
            </w:r>
          </w:p>
        </w:tc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Pérdida o conflicto</w:t>
            </w:r>
          </w:p>
        </w:tc>
        <w:tc>
          <w:tcPr>
            <w:tcW w:type="dxa" w:w="33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Bucket GCS versionado con bloqueo de estado</w:t>
            </w:r>
          </w:p>
        </w:tc>
        <w:tc>
          <w:tcPr>
            <w:tcW w:type="dxa" w:w="9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15 min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9. Matriz de fallas, RPO y RTO.</w:t>
      </w:r>
    </w:p>
    <w:p>
      <w:pPr>
        <w:pStyle w:val="Heading2"/>
      </w:pPr>
      <w:r>
        <w:rPr>
          <w:rFonts w:ascii="Arial" w:cs="Arial" w:eastAsia="Arial" w:hAnsi="Arial"/>
        </w:rPr>
        <w:t xml:space="preserve">10.1 Prototipo frente a producción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El prototipo del curso es de una sola región para mantener el costo bajo; no lo presentamos como alta disponibilidad probada. Para producción, el diseño agrega Cloud SQL en modo HA regional, Bronze en un bucket dual-region, BigQuery en la multirregión US y Cloud Run en dos regiones detrás de un balanceador global. La Entrega 3 incluirá una prueba real de restauración de Cloud SQL y de una versión de objeto en GCS, con el RTO medido.</w:t>
      </w:r>
    </w:p>
    <w:p>
      <w:pPr>
        <w:pStyle w:val="Heading1"/>
      </w:pPr>
      <w:r>
        <w:rPr>
          <w:rFonts w:ascii="Arial" w:cs="Arial" w:eastAsia="Arial" w:hAnsi="Arial"/>
        </w:rPr>
        <w:t xml:space="preserve">11. KPIs de éxito y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2979"/>
        <w:gridCol w:w="2347"/>
        <w:gridCol w:w="2256"/>
      </w:tblGrid>
      <w:tr>
        <w:trPr>
          <w:cantSplit/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Dimensión</w:t>
            </w:r>
          </w:p>
        </w:tc>
        <w:tc>
          <w:tcPr>
            <w:tcW w:type="dxa" w:w="2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Datos</w:t>
            </w:r>
          </w:p>
        </w:tc>
        <w:tc>
          <w:tcPr>
            <w:tcW w:type="dxa" w:w="2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Filas cargadas vs manifiesto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 conciliado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retail_ops + manifiesto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Datos</w:t>
            </w:r>
          </w:p>
        </w:tc>
        <w:tc>
          <w:tcPr>
            <w:tcW w:type="dxa" w:w="2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Filas rechazadas en Silver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0.5% y todas contabilizadas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Reporte de calidad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Streaming</w:t>
            </w:r>
          </w:p>
        </w:tc>
        <w:tc>
          <w:tcPr>
            <w:tcW w:type="dxa" w:w="2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Lag p95 publicación → BigQuery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60 s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events_raw.publish_time vs ingesta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Streaming</w:t>
            </w:r>
          </w:p>
        </w:tc>
        <w:tc>
          <w:tcPr>
            <w:tcW w:type="dxa" w:w="2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Mensajes en DLQ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0.1%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Monitoreo Pub/Sub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Modelo</w:t>
            </w:r>
          </w:p>
        </w:tc>
        <w:tc>
          <w:tcPr>
            <w:tcW w:type="dxa" w:w="2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MAP@12 del recomendador vs baseline de popularidad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Mejora &gt; 10%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Evaluación con split temporal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2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Latencia p95 / disponibilidad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500 ms / ≥ 99.5% en ventana de prueba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Cloud Monitoring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Negocio (simulado)</w:t>
            </w:r>
          </w:p>
        </w:tc>
        <w:tc>
          <w:tcPr>
            <w:tcW w:type="dxa" w:w="2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Conversión, ticket medio, pedidos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Visibles por día y canal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Gold + Looker Studio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Costos</w:t>
            </w:r>
          </w:p>
        </w:tc>
        <w:tc>
          <w:tcPr>
            <w:tcW w:type="dxa" w:w="29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USD por pedido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≤ USD 0.0012 (estimado + 20%)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Billing export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10. Catálogo de KPIs.</w:t>
      </w:r>
    </w:p>
    <w:p>
      <w:pPr>
        <w:pStyle w:val="Heading1"/>
      </w:pPr>
      <w:r>
        <w:rPr>
          <w:rFonts w:ascii="Arial" w:cs="Arial" w:eastAsia="Arial" w:hAnsi="Arial"/>
        </w:rPr>
        <w:t xml:space="preserve">12. Seguridad y gobierno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Buckets privados con acceso uniforme y prevención de acceso público forzada; cifrado en reposo y TLS en tránsito por defecto.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Cuatro cuentas de servicio con mínimo privilegio (ingesta, pipelines, API y despliegue); GitHub Actions usa Workload Identity Federation, sin llaves JSON.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Secretos en Secret Manager; .gitignore y una regla de CI impiden versionar datos, credenciales o estado de Terraform.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Datos de clientes ya seudonimizados; los eventos sintéticos se identifican con is_synthetic y simulation_run_id.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El asistente solo puede proponer artículos existentes y requiere confirmación explícita del usuario antes del checkout.</w:t>
      </w:r>
    </w:p>
    <w:p>
      <w:pPr>
        <w:pStyle w:val="Heading1"/>
      </w:pPr>
      <w:r>
        <w:rPr>
          <w:rFonts w:ascii="Arial" w:cs="Arial" w:eastAsia="Arial" w:hAnsi="Arial"/>
        </w:rPr>
        <w:t xml:space="preserve">13. Plan de trabajo por entregas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"/>
        <w:gridCol w:w="1416"/>
        <w:gridCol w:w="1593"/>
        <w:gridCol w:w="5309"/>
      </w:tblGrid>
      <w:tr>
        <w:trPr>
          <w:cantSplit/>
          <w:tblHeader/>
        </w:trPr>
        <w:tc>
          <w:tcPr>
            <w:tcW w:type="dxa" w:w="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1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 principal</w:t>
            </w:r>
          </w:p>
        </w:tc>
      </w:tr>
      <w:tr>
        <w:trPr>
          <w:cantSplit/>
          <w:tblHeader w:val="false"/>
        </w:trPr>
        <w:tc>
          <w:tcPr>
            <w:tcW w:type="dxa" w:w="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24-oct-2026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Examen + P1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Este documento: stack, escalabilidad, costos, DRP/HA, arquitectura, ingesta y almacenamiento; repositorio base</w:t>
            </w:r>
          </w:p>
        </w:tc>
      </w:tr>
      <w:tr>
        <w:trPr>
          <w:cantSplit/>
          <w:tblHeader w:val="false"/>
        </w:trPr>
        <w:tc>
          <w:tcPr>
            <w:tcW w:type="dxa" w:w="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07-nov-2026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Infraestructura desplegada, Bronze/Silver/Gold, replay streaming con Dataflow, modelo estrella, recomendador baseline</w:t>
            </w:r>
          </w:p>
        </w:tc>
      </w:tr>
      <w:tr>
        <w:trPr>
          <w:cantSplit/>
          <w:tblHeader w:val="false"/>
        </w:trPr>
        <w:tc>
          <w:tcPr>
            <w:tcW w:type="dxa" w:w="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20/21-nov-2026</w:t>
            </w:r>
          </w:p>
        </w:tc>
        <w:tc>
          <w:tcPr>
            <w:tcW w:type="dxa" w:w="1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 + sustentación</w:t>
            </w:r>
          </w:p>
        </w:tc>
        <w:tc>
          <w:tcPr>
            <w:tcW w:type="dxa" w:w="5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API en Cloud Run, asistente Gemini, wallet en Cloud SQL, tableros, demo end-to-end, slides y costo real</w:t>
            </w:r>
          </w:p>
        </w:tc>
      </w:tr>
    </w:tbl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11. Hitos. El detalle por tarea y responsable está en la matriz de auditoría.</w:t>
      </w:r>
    </w:p>
    <w:p>
      <w:pPr>
        <w:pStyle w:val="Heading1"/>
      </w:pPr>
      <w:r>
        <w:rPr>
          <w:rFonts w:ascii="Arial" w:cs="Arial" w:eastAsia="Arial" w:hAnsi="Arial"/>
        </w:rPr>
        <w:t xml:space="preserve">14. Riesgos y mitigaciones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1083"/>
        <w:gridCol w:w="4784"/>
      </w:tblGrid>
      <w:tr>
        <w:trPr>
          <w:cantSplit/>
          <w:tblHeader/>
        </w:trP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4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Mitigación</w:t>
            </w:r>
          </w:p>
        </w:tc>
      </w:tr>
      <w:tr>
        <w:trPr>
          <w:cantSplit/>
          <w:tblHeader w:val="false"/>
        </w:trP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Gasto inesperado en nube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4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Presupuesto con alertas, Dataflow solo en demo, checklist de apagado</w:t>
            </w:r>
          </w:p>
        </w:tc>
      </w:tr>
      <w:tr>
        <w:trPr>
          <w:cantSplit/>
          <w:tblHeader w:val="false"/>
        </w:trP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Subida lenta de 33 GB desde la red local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Medio</w:t>
            </w:r>
          </w:p>
        </w:tc>
        <w:tc>
          <w:tcPr>
            <w:tcW w:type="dxa" w:w="4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rsync reanudable; imágenes en segundo plano; CSV primero</w:t>
            </w:r>
          </w:p>
        </w:tc>
      </w:tr>
      <w:tr>
        <w:trPr>
          <w:cantSplit/>
          <w:tblHeader w:val="false"/>
        </w:trP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Cuotas de Gemini o Dataflow en cuenta nueva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Medio</w:t>
            </w:r>
          </w:p>
        </w:tc>
        <w:tc>
          <w:tcPr>
            <w:tcW w:type="dxa" w:w="4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Solicitar cuota temprano; respaldo por reglas</w:t>
            </w:r>
          </w:p>
        </w:tc>
      </w:tr>
      <w:tr>
        <w:trPr>
          <w:cantSplit/>
          <w:tblHeader w:val="false"/>
        </w:trP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Plazo corto entre entregas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Alto</w:t>
            </w:r>
          </w:p>
        </w:tc>
        <w:tc>
          <w:tcPr>
            <w:tcW w:type="dxa" w:w="4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MVP por hito; responsables únicos por tarea; matriz de seguimiento</w:t>
            </w:r>
          </w:p>
        </w:tc>
      </w:tr>
      <w:tr>
        <w:trPr>
          <w:cantSplit/>
          <w:tblHeader w:val="false"/>
        </w:trPr>
        <w:tc>
          <w:tcPr>
            <w:tcW w:type="dxa" w:w="31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Confundir datos simulados con reales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Medio</w:t>
            </w:r>
          </w:p>
        </w:tc>
        <w:tc>
          <w:tcPr>
            <w:tcW w:type="dxa" w:w="4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Doble reloj (source_t_dat / event_time) e is_synthetic en todo evento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Anexo A. Repositorio y reproducibilidad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El repositorio github.com/estuardoo/STYLUS (privado) se publica sin datos ni secretos. Estructura: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config/                 JSON de control: parámetros, tablas, columnas, usuarios y permisos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panel/                  Panel web local para editar la configuración y desplegar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ops.py                  Orquestador de despliegue (Windows, Linux, Cloud Shell)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infra/terraform/        Infraestructura GCP (estado remoto en GCS)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ingestion/batch/        Carga de H&amp;M a Bronze con manifiesto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ingestion/streaming/    Publicador replay de eventos 2026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pipelines/              Spark (Silver), Dataflow (streaming), recomendador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sql/                    Bronze, Silver, Gold y vistas BI en BigQuery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api/                    FastAPI, web, asistente Gemini y wallet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cost/                   Calculadora y automatización de costos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docs/architecture/      Diagramas regenerables (Graphviz)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docs/entrega1/          Este documento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docs/gestion/           Matriz de auditoría y roles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tests/                  Pruebas unitarias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.github/workflows/      CI: pruebas, costos, terraform validate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data/                   Solo local; excluido de Git</w:t>
      </w:r>
    </w:p>
    <w:p>
      <w:pPr>
        <w:spacing w:after="80"/>
      </w:pP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Todos los nombres, parámetros, tablas, columnas, usuarios iniciales y permisos se controlan desde config/control_plataforma.json (editable con python ops.py panel); python ops.py config los convierte en variables de Terraform y semillas de la API, y python ops.py verificar compara lo desplegado contra ese archivo.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Comandos principales: python ops.py config · bootstrap · plan · apply · subir-datos · bronze · silver · gold · api · verificar · todo. Guía de despliegue en docs/DEPLOY.md y guía técnica completa en docs/entrega1/Guia_Tecnica_STYLUS.pdf.</w:t>
      </w:r>
    </w:p>
    <w:p>
      <w:pPr>
        <w:pStyle w:val="Heading1"/>
      </w:pPr>
      <w:r>
        <w:rPr>
          <w:rFonts w:ascii="Arial" w:cs="Arial" w:eastAsia="Arial" w:hAnsi="Arial"/>
        </w:rPr>
        <w:t xml:space="preserve">Referencias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UTEC. Entregables del Proyecto Final: Taller de Arquitectura Big Data. Sección 1, 2026.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Kaggle. H&amp;M Personalized Fashion Recommendations. https://www.kaggle.com/competitions/h-and-m-personalized-fashion-recommendations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Google Cloud. Cloud Storage pricing. https://cloud.google.com/storage/pricing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Google Cloud. BigQuery pricing. https://cloud.google.com/bigquery/pricing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Google Cloud. Pub/Sub pricing. https://cloud.google.com/pubsub/pricing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Google Cloud. Dataflow pricing. https://cloud.google.com/dataflow/pricing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Google Cloud. Serverless for Apache Spark pricing. https://cloud.google.com/dataproc-serverless/pricing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Google Cloud. Cloud Run pricing. https://cloud.google.com/run/pricing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Google Cloud. Cloud SQL pricing. https://cloud.google.com/sql/pricing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Google Cloud. Vertex AI generative AI pricing. https://cloud.google.com/vertex-ai/generative-ai/pricing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19"/>
          <w:szCs w:val="19"/>
        </w:rPr>
        <w:t xml:space="preserve">Google Cloud. Pricing Calculator. https://cloud.google.com/products/calculator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Página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STYLUS · Retail con compras inteligentes asistidas por IA</w:t>
    </w:r>
    <w:r>
      <w:rPr>
        <w:rFonts w:ascii="Arial" w:cs="Arial" w:eastAsia="Arial" w:hAnsi="Arial"/>
        <w:color w:val="595959"/>
        <w:sz w:val="16"/>
        <w:szCs w:val="16"/>
      </w:rPr>
      <w:t xml:space="preserve">	Entrega 1 · Examen + P1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5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027ac015635f21ae5aebe4bc7592c71114f52b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1 - Arquitectura Big Data Retail</dc:title>
  <dc:creator>Equipo Retail Big Data</dc:creator>
  <cp:lastModifiedBy>Un-named</cp:lastModifiedBy>
  <cp:revision>1</cp:revision>
  <dcterms:created xsi:type="dcterms:W3CDTF">2026-10-24T22:59:21.353Z</dcterms:created>
  <dcterms:modified xsi:type="dcterms:W3CDTF">2026-10-24T22:59:21.353Z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