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 w:before="600"/>
      </w:pPr>
      <w:r>
        <w:rPr>
          <w:rFonts w:ascii="Arial" w:cs="Arial" w:eastAsia="Arial" w:hAnsi="Arial"/>
          <w:b/>
          <w:bCs/>
          <w:color w:val="595959"/>
          <w:sz w:val="20"/>
          <w:szCs w:val="20"/>
        </w:rPr>
        <w:t xml:space="preserve">UTEC · TALLER DE ARQUITECTURA BIG DATA · SECCIÓN 1</w:t>
      </w:r>
    </w:p>
    <w:p>
      <w:pPr>
        <w:pBdr>
          <w:bottom w:val="single" w:color="2E75B6" w:sz="12" w:space="4"/>
        </w:pBdr>
        <w:spacing w:after="600"/>
      </w:pPr>
    </w:p>
    <w:p>
      <w:pPr>
        <w:spacing w:after="200"/>
      </w:pPr>
      <w:r>
        <w:rPr>
          <w:rFonts w:ascii="Arial" w:cs="Arial" w:eastAsia="Arial" w:hAnsi="Arial"/>
          <w:b/>
          <w:bCs/>
          <w:color w:val="1F3864"/>
          <w:sz w:val="52"/>
          <w:szCs w:val="52"/>
        </w:rPr>
        <w:t xml:space="preserve">Retail Intelligence &amp; Personal Shopping Assistant</w:t>
      </w:r>
    </w:p>
    <w:p>
      <w:pPr>
        <w:spacing w:after="600"/>
      </w:pPr>
      <w:r>
        <w:rPr>
          <w:rFonts w:ascii="Arial" w:cs="Arial" w:eastAsia="Arial" w:hAnsi="Arial"/>
          <w:color w:val="595959"/>
          <w:sz w:val="26"/>
          <w:szCs w:val="26"/>
        </w:rPr>
        <w:t xml:space="preserve">Plataforma Big Data de retail en Google Cloud: ingesta batch y streaming, lakehouse medallion, analítica, recomendaciones y asistente con Vertex AI Gemini</w:t>
      </w:r>
    </w:p>
    <w:p>
      <w:pPr>
        <w:spacing w:after="120"/>
      </w:pPr>
      <w:r>
        <w:rPr>
          <w:rFonts w:ascii="Arial" w:cs="Arial" w:eastAsia="Arial" w:hAnsi="Arial"/>
          <w:b/>
          <w:bCs/>
          <w:color w:val="2E75B6"/>
          <w:sz w:val="24"/>
          <w:szCs w:val="24"/>
        </w:rPr>
        <w:t xml:space="preserve">ENTREGA 1</w:t>
      </w:r>
    </w:p>
    <w:p>
      <w:pPr>
        <w:spacing w:after="60"/>
      </w:pPr>
      <w:r>
        <w:rPr>
          <w:rFonts w:ascii="Arial" w:cs="Arial" w:eastAsia="Arial" w:hAnsi="Arial"/>
          <w:sz w:val="22"/>
          <w:szCs w:val="22"/>
        </w:rPr>
        <w:t xml:space="preserve">Examen (E): Caso de estudio y sustentación técnica, económica y de resiliencia</w:t>
      </w:r>
    </w:p>
    <w:p>
      <w:pPr>
        <w:spacing w:after="600"/>
      </w:pPr>
      <w:r>
        <w:rPr>
          <w:rFonts w:ascii="Arial" w:cs="Arial" w:eastAsia="Arial" w:hAnsi="Arial"/>
          <w:sz w:val="22"/>
          <w:szCs w:val="22"/>
        </w:rPr>
        <w:t xml:space="preserve">Proyecto Parte 1 (P1): Blueprint, diseño de ingesta y almacenamiento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08"/>
        <w:gridCol w:w="6318"/>
      </w:tblGrid>
      <w:tr>
        <w:trPr>
          <w:cantSplit/>
          <w:tblHeader/>
        </w:trPr>
        <w:tc>
          <w:tcPr>
            <w:tcW w:type="dxa" w:w="270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Integrante</w:t>
            </w:r>
          </w:p>
        </w:tc>
        <w:tc>
          <w:tcPr>
            <w:tcW w:type="dxa" w:w="631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Perfil en el proyecto</w:t>
            </w:r>
          </w:p>
        </w:tc>
      </w:tr>
      <w:tr>
        <w:trPr>
          <w:cantSplit/>
          <w:tblHeader w:val="false"/>
        </w:trPr>
        <w:tc>
          <w:tcPr>
            <w:tcW w:type="dxa" w:w="270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Estuardo Oliver</w:t>
            </w:r>
          </w:p>
        </w:tc>
        <w:tc>
          <w:tcPr>
            <w:tcW w:type="dxa" w:w="631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ML / Analytics: asistente conversacional, analítica y recomendaciones</w:t>
            </w:r>
          </w:p>
        </w:tc>
      </w:tr>
      <w:tr>
        <w:trPr>
          <w:cantSplit/>
          <w:tblHeader w:val="false"/>
        </w:trPr>
        <w:tc>
          <w:tcPr>
            <w:tcW w:type="dxa" w:w="270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Winston Quispe</w:t>
            </w:r>
          </w:p>
        </w:tc>
        <w:tc>
          <w:tcPr>
            <w:tcW w:type="dxa" w:w="631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Cloud Computing: infraestructura GCP, ingesta y streaming</w:t>
            </w:r>
          </w:p>
        </w:tc>
      </w:tr>
      <w:tr>
        <w:trPr>
          <w:cantSplit/>
          <w:tblHeader w:val="false"/>
        </w:trPr>
        <w:tc>
          <w:tcPr>
            <w:tcW w:type="dxa" w:w="270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Nicole Arenas</w:t>
            </w:r>
          </w:p>
        </w:tc>
        <w:tc>
          <w:tcPr>
            <w:tcW w:type="dxa" w:w="631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Datos + API + Modelado: capas medallion, modelo dimensional y API</w:t>
            </w:r>
          </w:p>
        </w:tc>
      </w:tr>
      <w:tr>
        <w:trPr>
          <w:cantSplit/>
          <w:tblHeader w:val="false"/>
        </w:trPr>
        <w:tc>
          <w:tcPr>
            <w:tcW w:type="dxa" w:w="270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Gianmarco Mejia</w:t>
            </w:r>
          </w:p>
        </w:tc>
        <w:tc>
          <w:tcPr>
            <w:tcW w:type="dxa" w:w="631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Dashboard / BI: KPIs, tableros y visualización</w:t>
            </w:r>
          </w:p>
        </w:tc>
      </w:tr>
    </w:tbl>
    <w:p>
      <w:pPr>
        <w:spacing w:before="400"/>
      </w:pPr>
      <w:r>
        <w:rPr>
          <w:rFonts w:ascii="Arial" w:cs="Arial" w:eastAsia="Arial" w:hAnsi="Arial"/>
          <w:color w:val="595959"/>
          <w:sz w:val="20"/>
          <w:szCs w:val="20"/>
        </w:rPr>
        <w:t xml:space="preserve">Fecha de entrega: 24 de octubre de 2026 · Versión 1.0</w:t>
      </w:r>
    </w:p>
    <w:p>
      <w:r>
        <w:br w:type="page"/>
      </w:r>
    </w:p>
    <w:p>
      <w:pPr>
        <w:sectPr>
          <w:pgSz w:w="11906" w:h="16838" w:orient="portrait"/>
          <w:pgMar w:top="1440" w:right="1440" w:bottom="1440" w:left="1440" w:header="708" w:footer="708" w:gutter="0"/>
          <w:pgNumType/>
          <w:docGrid w:linePitch="360"/>
        </w:sectPr>
      </w:pPr>
    </w:p>
    <w:p>
      <w:pPr>
        <w:pStyle w:val="Heading1"/>
      </w:pPr>
      <w:r>
        <w:rPr>
          <w:rFonts w:ascii="Arial" w:cs="Arial" w:eastAsia="Arial" w:hAnsi="Arial"/>
        </w:rPr>
        <w:t xml:space="preserve">Control del documento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08"/>
        <w:gridCol w:w="6318"/>
      </w:tblGrid>
      <w:tr>
        <w:trPr>
          <w:cantSplit/>
          <w:tblHeader/>
        </w:trPr>
        <w:tc>
          <w:tcPr>
            <w:tcW w:type="dxa" w:w="270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Campo</w:t>
            </w:r>
          </w:p>
        </w:tc>
        <w:tc>
          <w:tcPr>
            <w:tcW w:type="dxa" w:w="631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Detalle</w:t>
            </w:r>
          </w:p>
        </w:tc>
      </w:tr>
      <w:tr>
        <w:trPr>
          <w:cantSplit/>
          <w:tblHeader w:val="false"/>
        </w:trPr>
        <w:tc>
          <w:tcPr>
            <w:tcW w:type="dxa" w:w="270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Documento</w:t>
            </w:r>
          </w:p>
        </w:tc>
        <w:tc>
          <w:tcPr>
            <w:tcW w:type="dxa" w:w="631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Entrega 1: Examen (E) + Proyecto Parte 1 (P1)</w:t>
            </w:r>
          </w:p>
        </w:tc>
      </w:tr>
      <w:tr>
        <w:trPr>
          <w:cantSplit/>
          <w:tblHeader w:val="false"/>
        </w:trPr>
        <w:tc>
          <w:tcPr>
            <w:tcW w:type="dxa" w:w="270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Versión</w:t>
            </w:r>
          </w:p>
        </w:tc>
        <w:tc>
          <w:tcPr>
            <w:tcW w:type="dxa" w:w="631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1.0 (22-oct-2026): primera versión completa para revisión del equipo</w:t>
            </w:r>
          </w:p>
        </w:tc>
      </w:tr>
      <w:tr>
        <w:trPr>
          <w:cantSplit/>
          <w:tblHeader w:val="false"/>
        </w:trPr>
        <w:tc>
          <w:tcPr>
            <w:tcW w:type="dxa" w:w="270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Fuente de requisitos</w:t>
            </w:r>
          </w:p>
        </w:tc>
        <w:tc>
          <w:tcPr>
            <w:tcW w:type="dxa" w:w="631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UTEC, “Entregables del Proyecto Final: Taller de Arquitectura Big Data” (PDF, 3 páginas)</w:t>
            </w:r>
          </w:p>
        </w:tc>
      </w:tr>
      <w:tr>
        <w:trPr>
          <w:cantSplit/>
          <w:tblHeader w:val="false"/>
        </w:trPr>
        <w:tc>
          <w:tcPr>
            <w:tcW w:type="dxa" w:w="270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Repositorio</w:t>
            </w:r>
          </w:p>
        </w:tc>
        <w:tc>
          <w:tcPr>
            <w:tcW w:type="dxa" w:w="631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Estructura y código de soporte en el repositorio del proyecto (ver Anexo A)</w:t>
            </w:r>
          </w:p>
        </w:tc>
      </w:tr>
      <w:tr>
        <w:trPr>
          <w:cantSplit/>
          <w:tblHeader w:val="false"/>
        </w:trPr>
        <w:tc>
          <w:tcPr>
            <w:tcW w:type="dxa" w:w="270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Datos</w:t>
            </w:r>
          </w:p>
        </w:tc>
        <w:tc>
          <w:tcPr>
            <w:tcW w:type="dxa" w:w="631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H&amp;M Personalized Fashion Recommendations (Kaggle). Única fuente de datos del proyecto</w:t>
            </w:r>
          </w:p>
        </w:tc>
      </w:tr>
      <w:tr>
        <w:trPr>
          <w:cantSplit/>
          <w:tblHeader w:val="false"/>
        </w:trPr>
        <w:tc>
          <w:tcPr>
            <w:tcW w:type="dxa" w:w="270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Precios</w:t>
            </w:r>
          </w:p>
        </w:tc>
        <w:tc>
          <w:tcPr>
            <w:tcW w:type="dxa" w:w="631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Lista pública de Google Cloud, región us-central1, consultados el 22-oct-2026</w:t>
            </w:r>
          </w:p>
        </w:tc>
      </w:tr>
    </w:tbl>
    <w:p>
      <w:pPr>
        <w:spacing w:after="80"/>
      </w:pPr>
    </w:p>
    <w:p>
      <w:pPr>
        <w:spacing w:after="120" w:line="276"/>
        <w:jc w:val="both"/>
      </w:pPr>
      <w:r>
        <w:rPr>
          <w:rFonts w:ascii="Arial" w:cs="Arial" w:eastAsia="Arial" w:hAnsi="Arial"/>
          <w:b/>
          <w:bCs/>
        </w:rPr>
        <w:t xml:space="preserve">Convención de estado. </w:t>
      </w:r>
      <w:r>
        <w:rPr>
          <w:rFonts w:ascii="Arial" w:cs="Arial" w:eastAsia="Arial" w:hAnsi="Arial"/>
        </w:rPr>
        <w:t xml:space="preserve">En este documento distinguimos tres niveles de madurez para no sobredeclarar avances: </w:t>
      </w:r>
      <w:r>
        <w:rPr>
          <w:rFonts w:ascii="Arial" w:cs="Arial" w:eastAsia="Arial" w:hAnsi="Arial"/>
          <w:b/>
          <w:bCs/>
        </w:rPr>
        <w:t xml:space="preserve">diseñado</w:t>
      </w:r>
      <w:r>
        <w:rPr>
          <w:rFonts w:ascii="Arial" w:cs="Arial" w:eastAsia="Arial" w:hAnsi="Arial"/>
        </w:rPr>
        <w:t xml:space="preserve"> (decisión documentada), </w:t>
      </w:r>
      <w:r>
        <w:rPr>
          <w:rFonts w:ascii="Arial" w:cs="Arial" w:eastAsia="Arial" w:hAnsi="Arial"/>
          <w:b/>
          <w:bCs/>
        </w:rPr>
        <w:t xml:space="preserve">implementado</w:t>
      </w:r>
      <w:r>
        <w:rPr>
          <w:rFonts w:ascii="Arial" w:cs="Arial" w:eastAsia="Arial" w:hAnsi="Arial"/>
        </w:rPr>
        <w:t xml:space="preserve"> (código o configuración en el repositorio, probado localmente) y </w:t>
      </w:r>
      <w:r>
        <w:rPr>
          <w:rFonts w:ascii="Arial" w:cs="Arial" w:eastAsia="Arial" w:hAnsi="Arial"/>
          <w:b/>
          <w:bCs/>
        </w:rPr>
        <w:t xml:space="preserve">desplegado</w:t>
      </w:r>
      <w:r>
        <w:rPr>
          <w:rFonts w:ascii="Arial" w:cs="Arial" w:eastAsia="Arial" w:hAnsi="Arial"/>
        </w:rPr>
        <w:t xml:space="preserve"> (funcionando en GCP con evidencia). Para la Entrega 1 el curso exige diseño; lo implementado se indica explícitamente.</w:t>
      </w:r>
    </w:p>
    <w:p>
      <w:r>
        <w:br w:type="page"/>
      </w:r>
    </w:p>
    <w:p>
      <w:pPr>
        <w:pStyle w:val="Heading1"/>
      </w:pPr>
      <w:r>
        <w:rPr>
          <w:rFonts w:ascii="Arial" w:cs="Arial" w:eastAsia="Arial" w:hAnsi="Arial"/>
        </w:rPr>
        <w:t xml:space="preserve">Índice</w:t>
      </w:r>
    </w:p>
    <w:sdt>
      <w:sdtPr>
        <w:alias w:val="Índice"/>
      </w:sdtPr>
      <w:sdtContent>
        <w:p>
          <w:r>
            <w:fldChar w:fldCharType="begin" w:dirty="true"/>
            <w:instrText xml:space="preserve">TOC \h \o "1-2"</w:instrText>
            <w:fldChar w:fldCharType="separate"/>
          </w:r>
        </w:p>
        <w:p>
          <w:r>
            <w:fldChar w:fldCharType="end"/>
          </w:r>
        </w:p>
      </w:sdtContent>
    </w:sdt>
    <w:p>
      <w:pPr>
        <w:tabs>
          <w:tab w:val="right" w:pos="9026" w:leader="dot"/>
        </w:tabs>
        <w:spacing w:after="40" w:before="100"/>
        <w:ind w:left="0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1. Resumen ejecutivo</w:t>
      </w:r>
      <w:r>
        <w:rPr>
          <w:rFonts w:ascii="Arial" w:cs="Arial" w:eastAsia="Arial" w:hAnsi="Arial"/>
          <w:b/>
          <w:bCs/>
          <w:sz w:val="21"/>
          <w:szCs w:val="21"/>
        </w:rPr>
        <w:t xml:space="preserve">	4</w:t>
      </w:r>
    </w:p>
    <w:p>
      <w:pPr>
        <w:tabs>
          <w:tab w:val="right" w:pos="9026" w:leader="dot"/>
        </w:tabs>
        <w:spacing w:after="40" w:before="100"/>
        <w:ind w:left="0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2. Contexto de negocio y alcance</w:t>
      </w:r>
      <w:r>
        <w:rPr>
          <w:rFonts w:ascii="Arial" w:cs="Arial" w:eastAsia="Arial" w:hAnsi="Arial"/>
          <w:b/>
          <w:bCs/>
          <w:sz w:val="21"/>
          <w:szCs w:val="21"/>
        </w:rPr>
        <w:t xml:space="preserve">	4</w:t>
      </w:r>
    </w:p>
    <w:p>
      <w:pPr>
        <w:tabs>
          <w:tab w:val="right" w:pos="9026" w:leader="dot"/>
        </w:tabs>
        <w:spacing w:after="40" w:before="0"/>
        <w:ind w:left="360"/>
      </w:pP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2.1 Problema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	4</w:t>
      </w:r>
    </w:p>
    <w:p>
      <w:pPr>
        <w:tabs>
          <w:tab w:val="right" w:pos="9026" w:leader="dot"/>
        </w:tabs>
        <w:spacing w:after="40" w:before="0"/>
        <w:ind w:left="360"/>
      </w:pP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2.2 Objetivos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	4</w:t>
      </w:r>
    </w:p>
    <w:p>
      <w:pPr>
        <w:tabs>
          <w:tab w:val="right" w:pos="9026" w:leader="dot"/>
        </w:tabs>
        <w:spacing w:after="40" w:before="0"/>
        <w:ind w:left="360"/>
      </w:pP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2.3 Alcance y fuera de alcance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	5</w:t>
      </w:r>
    </w:p>
    <w:p>
      <w:pPr>
        <w:tabs>
          <w:tab w:val="right" w:pos="9026" w:leader="dot"/>
        </w:tabs>
        <w:spacing w:after="40" w:before="0"/>
        <w:ind w:left="360"/>
      </w:pP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2.4 Supuestos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	5</w:t>
      </w:r>
    </w:p>
    <w:p>
      <w:pPr>
        <w:tabs>
          <w:tab w:val="right" w:pos="9026" w:leader="dot"/>
        </w:tabs>
        <w:spacing w:after="40" w:before="100"/>
        <w:ind w:left="0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3. Equipo y roles</w:t>
      </w:r>
      <w:r>
        <w:rPr>
          <w:rFonts w:ascii="Arial" w:cs="Arial" w:eastAsia="Arial" w:hAnsi="Arial"/>
          <w:b/>
          <w:bCs/>
          <w:sz w:val="21"/>
          <w:szCs w:val="21"/>
        </w:rPr>
        <w:t xml:space="preserve">	5</w:t>
      </w:r>
    </w:p>
    <w:p>
      <w:pPr>
        <w:tabs>
          <w:tab w:val="right" w:pos="9026" w:leader="dot"/>
        </w:tabs>
        <w:spacing w:after="40" w:before="100"/>
        <w:ind w:left="0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4. Inventario y perfil de datos</w:t>
      </w:r>
      <w:r>
        <w:rPr>
          <w:rFonts w:ascii="Arial" w:cs="Arial" w:eastAsia="Arial" w:hAnsi="Arial"/>
          <w:b/>
          <w:bCs/>
          <w:sz w:val="21"/>
          <w:szCs w:val="21"/>
        </w:rPr>
        <w:t xml:space="preserve">	6</w:t>
      </w:r>
    </w:p>
    <w:p>
      <w:pPr>
        <w:tabs>
          <w:tab w:val="right" w:pos="9026" w:leader="dot"/>
        </w:tabs>
        <w:spacing w:after="40" w:before="0"/>
        <w:ind w:left="360"/>
      </w:pP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4.1 Hallazgos de calidad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	6</w:t>
      </w:r>
    </w:p>
    <w:p>
      <w:pPr>
        <w:tabs>
          <w:tab w:val="right" w:pos="9026" w:leader="dot"/>
        </w:tabs>
        <w:spacing w:after="40" w:before="0"/>
        <w:ind w:left="360"/>
      </w:pP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4.2 Patrones de negocio útiles para el diseño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	6</w:t>
      </w:r>
    </w:p>
    <w:p>
      <w:pPr>
        <w:tabs>
          <w:tab w:val="right" w:pos="9026" w:leader="dot"/>
        </w:tabs>
        <w:spacing w:after="40" w:before="0"/>
        <w:ind w:left="360"/>
      </w:pP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4.3 Decisión sobre la fuente Amazon Reviews 2023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	6</w:t>
      </w:r>
    </w:p>
    <w:p>
      <w:pPr>
        <w:tabs>
          <w:tab w:val="right" w:pos="9026" w:leader="dot"/>
        </w:tabs>
        <w:spacing w:after="40" w:before="100"/>
        <w:ind w:left="0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5. Stack tecnológico y justificación</w:t>
      </w:r>
      <w:r>
        <w:rPr>
          <w:rFonts w:ascii="Arial" w:cs="Arial" w:eastAsia="Arial" w:hAnsi="Arial"/>
          <w:b/>
          <w:bCs/>
          <w:sz w:val="21"/>
          <w:szCs w:val="21"/>
        </w:rPr>
        <w:t xml:space="preserve">	7</w:t>
      </w:r>
    </w:p>
    <w:p>
      <w:pPr>
        <w:tabs>
          <w:tab w:val="right" w:pos="9026" w:leader="dot"/>
        </w:tabs>
        <w:spacing w:after="40" w:before="100"/>
        <w:ind w:left="0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6. Arquitectura end-to-end</w:t>
      </w:r>
      <w:r>
        <w:rPr>
          <w:rFonts w:ascii="Arial" w:cs="Arial" w:eastAsia="Arial" w:hAnsi="Arial"/>
          <w:b/>
          <w:bCs/>
          <w:sz w:val="21"/>
          <w:szCs w:val="21"/>
        </w:rPr>
        <w:t xml:space="preserve">	8</w:t>
      </w:r>
    </w:p>
    <w:p>
      <w:pPr>
        <w:tabs>
          <w:tab w:val="right" w:pos="9026" w:leader="dot"/>
        </w:tabs>
        <w:spacing w:after="40" w:before="0"/>
        <w:ind w:left="360"/>
      </w:pP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6.1 Flujo batch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	8</w:t>
      </w:r>
    </w:p>
    <w:p>
      <w:pPr>
        <w:tabs>
          <w:tab w:val="right" w:pos="9026" w:leader="dot"/>
        </w:tabs>
        <w:spacing w:after="40" w:before="0"/>
        <w:ind w:left="360"/>
      </w:pP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6.2 Flujo streaming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	9</w:t>
      </w:r>
    </w:p>
    <w:p>
      <w:pPr>
        <w:tabs>
          <w:tab w:val="right" w:pos="9026" w:leader="dot"/>
        </w:tabs>
        <w:spacing w:after="40" w:before="0"/>
        <w:ind w:left="360"/>
      </w:pP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6.3 Integración multifuente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	9</w:t>
      </w:r>
    </w:p>
    <w:p>
      <w:pPr>
        <w:tabs>
          <w:tab w:val="right" w:pos="9026" w:leader="dot"/>
        </w:tabs>
        <w:spacing w:after="40" w:before="100"/>
        <w:ind w:left="0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7. Definición de ingesta y almacenamiento</w:t>
      </w:r>
      <w:r>
        <w:rPr>
          <w:rFonts w:ascii="Arial" w:cs="Arial" w:eastAsia="Arial" w:hAnsi="Arial"/>
          <w:b/>
          <w:bCs/>
          <w:sz w:val="21"/>
          <w:szCs w:val="21"/>
        </w:rPr>
        <w:t xml:space="preserve">	9</w:t>
      </w:r>
    </w:p>
    <w:p>
      <w:pPr>
        <w:tabs>
          <w:tab w:val="right" w:pos="9026" w:leader="dot"/>
        </w:tabs>
        <w:spacing w:after="40" w:before="0"/>
        <w:ind w:left="360"/>
      </w:pP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7.1 Mecanismos de captura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	9</w:t>
      </w:r>
    </w:p>
    <w:p>
      <w:pPr>
        <w:tabs>
          <w:tab w:val="right" w:pos="9026" w:leader="dot"/>
        </w:tabs>
        <w:spacing w:after="40" w:before="0"/>
        <w:ind w:left="360"/>
      </w:pP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7.2 Motores de almacenamiento y modelo medallion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	9</w:t>
      </w:r>
    </w:p>
    <w:p>
      <w:pPr>
        <w:tabs>
          <w:tab w:val="right" w:pos="9026" w:leader="dot"/>
        </w:tabs>
        <w:spacing w:after="40" w:before="0"/>
        <w:ind w:left="360"/>
      </w:pP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7.3 Implementado para esta entrega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	10</w:t>
      </w:r>
    </w:p>
    <w:p>
      <w:pPr>
        <w:tabs>
          <w:tab w:val="right" w:pos="9026" w:leader="dot"/>
        </w:tabs>
        <w:spacing w:after="40" w:before="100"/>
        <w:ind w:left="0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8. Escalabilidad y performance</w:t>
      </w:r>
      <w:r>
        <w:rPr>
          <w:rFonts w:ascii="Arial" w:cs="Arial" w:eastAsia="Arial" w:hAnsi="Arial"/>
          <w:b/>
          <w:bCs/>
          <w:sz w:val="21"/>
          <w:szCs w:val="21"/>
        </w:rPr>
        <w:t xml:space="preserve">	10</w:t>
      </w:r>
    </w:p>
    <w:p>
      <w:pPr>
        <w:tabs>
          <w:tab w:val="right" w:pos="9026" w:leader="dot"/>
        </w:tabs>
        <w:spacing w:after="40" w:before="0"/>
        <w:ind w:left="360"/>
      </w:pP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8.1 Degradación controlada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	11</w:t>
      </w:r>
    </w:p>
    <w:p>
      <w:pPr>
        <w:tabs>
          <w:tab w:val="right" w:pos="9026" w:leader="dot"/>
        </w:tabs>
        <w:spacing w:after="40" w:before="0"/>
        <w:ind w:left="360"/>
      </w:pP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8.2 Metas de performance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	11</w:t>
      </w:r>
    </w:p>
    <w:p>
      <w:pPr>
        <w:tabs>
          <w:tab w:val="right" w:pos="9026" w:leader="dot"/>
        </w:tabs>
        <w:spacing w:after="40" w:before="100"/>
        <w:ind w:left="0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9. Justificación económica y optimización de costos</w:t>
      </w:r>
      <w:r>
        <w:rPr>
          <w:rFonts w:ascii="Arial" w:cs="Arial" w:eastAsia="Arial" w:hAnsi="Arial"/>
          <w:b/>
          <w:bCs/>
          <w:sz w:val="21"/>
          <w:szCs w:val="21"/>
        </w:rPr>
        <w:t xml:space="preserve">	11</w:t>
      </w:r>
    </w:p>
    <w:p>
      <w:pPr>
        <w:tabs>
          <w:tab w:val="right" w:pos="9026" w:leader="dot"/>
        </w:tabs>
        <w:spacing w:after="40" w:before="0"/>
        <w:ind w:left="360"/>
      </w:pP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9.1 Escenarios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	11</w:t>
      </w:r>
    </w:p>
    <w:p>
      <w:pPr>
        <w:tabs>
          <w:tab w:val="right" w:pos="9026" w:leader="dot"/>
        </w:tabs>
        <w:spacing w:after="40" w:before="0"/>
        <w:ind w:left="360"/>
      </w:pP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9.2 Palancas de optimización aplicadas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	12</w:t>
      </w:r>
    </w:p>
    <w:p>
      <w:pPr>
        <w:tabs>
          <w:tab w:val="right" w:pos="9026" w:leader="dot"/>
        </w:tabs>
        <w:spacing w:after="40" w:before="0"/>
        <w:ind w:left="360"/>
      </w:pP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9.3 Automatización de costos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	12</w:t>
      </w:r>
    </w:p>
    <w:p>
      <w:pPr>
        <w:tabs>
          <w:tab w:val="right" w:pos="9026" w:leader="dot"/>
        </w:tabs>
        <w:spacing w:after="40" w:before="100"/>
        <w:ind w:left="0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10. Plan de recuperación y alta disponibilidad (DRP/HA)</w:t>
      </w:r>
      <w:r>
        <w:rPr>
          <w:rFonts w:ascii="Arial" w:cs="Arial" w:eastAsia="Arial" w:hAnsi="Arial"/>
          <w:b/>
          <w:bCs/>
          <w:sz w:val="21"/>
          <w:szCs w:val="21"/>
        </w:rPr>
        <w:t xml:space="preserve">	12</w:t>
      </w:r>
    </w:p>
    <w:p>
      <w:pPr>
        <w:tabs>
          <w:tab w:val="right" w:pos="9026" w:leader="dot"/>
        </w:tabs>
        <w:spacing w:after="40" w:before="0"/>
        <w:ind w:left="360"/>
      </w:pP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10.1 Prototipo frente a producción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	13</w:t>
      </w:r>
    </w:p>
    <w:p>
      <w:pPr>
        <w:tabs>
          <w:tab w:val="right" w:pos="9026" w:leader="dot"/>
        </w:tabs>
        <w:spacing w:after="40" w:before="100"/>
        <w:ind w:left="0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11. KPIs de éxito y performance</w:t>
      </w:r>
      <w:r>
        <w:rPr>
          <w:rFonts w:ascii="Arial" w:cs="Arial" w:eastAsia="Arial" w:hAnsi="Arial"/>
          <w:b/>
          <w:bCs/>
          <w:sz w:val="21"/>
          <w:szCs w:val="21"/>
        </w:rPr>
        <w:t xml:space="preserve">	13</w:t>
      </w:r>
    </w:p>
    <w:p>
      <w:pPr>
        <w:tabs>
          <w:tab w:val="right" w:pos="9026" w:leader="dot"/>
        </w:tabs>
        <w:spacing w:after="40" w:before="100"/>
        <w:ind w:left="0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12. Seguridad y gobierno</w:t>
      </w:r>
      <w:r>
        <w:rPr>
          <w:rFonts w:ascii="Arial" w:cs="Arial" w:eastAsia="Arial" w:hAnsi="Arial"/>
          <w:b/>
          <w:bCs/>
          <w:sz w:val="21"/>
          <w:szCs w:val="21"/>
        </w:rPr>
        <w:t xml:space="preserve">	14</w:t>
      </w:r>
    </w:p>
    <w:p>
      <w:pPr>
        <w:tabs>
          <w:tab w:val="right" w:pos="9026" w:leader="dot"/>
        </w:tabs>
        <w:spacing w:after="40" w:before="100"/>
        <w:ind w:left="0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13. Plan de trabajo por entregas</w:t>
      </w:r>
      <w:r>
        <w:rPr>
          <w:rFonts w:ascii="Arial" w:cs="Arial" w:eastAsia="Arial" w:hAnsi="Arial"/>
          <w:b/>
          <w:bCs/>
          <w:sz w:val="21"/>
          <w:szCs w:val="21"/>
        </w:rPr>
        <w:t xml:space="preserve">	14</w:t>
      </w:r>
    </w:p>
    <w:p>
      <w:pPr>
        <w:tabs>
          <w:tab w:val="right" w:pos="9026" w:leader="dot"/>
        </w:tabs>
        <w:spacing w:after="40" w:before="100"/>
        <w:ind w:left="0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14. Riesgos y mitigaciones</w:t>
      </w:r>
      <w:r>
        <w:rPr>
          <w:rFonts w:ascii="Arial" w:cs="Arial" w:eastAsia="Arial" w:hAnsi="Arial"/>
          <w:b/>
          <w:bCs/>
          <w:sz w:val="21"/>
          <w:szCs w:val="21"/>
        </w:rPr>
        <w:t xml:space="preserve">	14</w:t>
      </w:r>
    </w:p>
    <w:p>
      <w:pPr>
        <w:tabs>
          <w:tab w:val="right" w:pos="9026" w:leader="dot"/>
        </w:tabs>
        <w:spacing w:after="40" w:before="100"/>
        <w:ind w:left="0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Anexo A. Repositorio y reproducibilidad</w:t>
      </w:r>
      <w:r>
        <w:rPr>
          <w:rFonts w:ascii="Arial" w:cs="Arial" w:eastAsia="Arial" w:hAnsi="Arial"/>
          <w:b/>
          <w:bCs/>
          <w:sz w:val="21"/>
          <w:szCs w:val="21"/>
        </w:rPr>
        <w:t xml:space="preserve">	14</w:t>
      </w:r>
    </w:p>
    <w:p>
      <w:pPr>
        <w:tabs>
          <w:tab w:val="right" w:pos="9026" w:leader="dot"/>
        </w:tabs>
        <w:spacing w:after="40" w:before="100"/>
        <w:ind w:left="0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Referencias</w:t>
      </w:r>
      <w:r>
        <w:rPr>
          <w:rFonts w:ascii="Arial" w:cs="Arial" w:eastAsia="Arial" w:hAnsi="Arial"/>
          <w:b/>
          <w:bCs/>
          <w:sz w:val="21"/>
          <w:szCs w:val="21"/>
        </w:rPr>
        <w:t xml:space="preserve">	15</w:t>
      </w:r>
    </w:p>
    <w:p>
      <w:r>
        <w:br w:type="page"/>
      </w:r>
    </w:p>
    <w:p>
      <w:pPr>
        <w:pStyle w:val="Heading1"/>
      </w:pPr>
      <w:r>
        <w:rPr>
          <w:rFonts w:ascii="Arial" w:cs="Arial" w:eastAsia="Arial" w:hAnsi="Arial"/>
        </w:rPr>
        <w:t xml:space="preserve">1. Resumen ejecutivo</w:t>
      </w:r>
    </w:p>
    <w:p>
      <w:pPr>
        <w:spacing w:after="120" w:line="276"/>
        <w:jc w:val="both"/>
      </w:pPr>
      <w:r>
        <w:rPr>
          <w:rFonts w:ascii="Arial" w:cs="Arial" w:eastAsia="Arial" w:hAnsi="Arial"/>
        </w:rPr>
        <w:t xml:space="preserve">Proponemos una plataforma analítica integral para un retailer de moda, construida sobre Google Cloud Platform (GCP) y alimentada con el dataset público de H&amp;M: 31.8 millones de líneas de venta de dos años, 1.37 millones de clientes y 105,542 artículos con sus imágenes. La plataforma convierte ese histórico en tres productos de valor: analítica de ventas para gerencia, recomendaciones personalizadas y un asistente de compras conversacional que propone productos reales del catálogo.</w:t>
      </w:r>
    </w:p>
    <w:p>
      <w:pPr>
        <w:spacing w:after="120" w:line="276"/>
        <w:jc w:val="both"/>
      </w:pPr>
      <w:r>
        <w:rPr>
          <w:rFonts w:ascii="Arial" w:cs="Arial" w:eastAsia="Arial" w:hAnsi="Arial"/>
        </w:rPr>
        <w:t xml:space="preserve">La arquitectura sigue el patrón lakehouse medallion. Cloud Storage guarda los datos originales intactos (Bronze) y sus versiones limpias en Parquet (Silver/Gold); BigQuery actúa como data warehouse; Pub/Sub y Dataflow procesan eventos en tiempo real; Cloud Run expone la API y la web; Cloud SQL mantiene el estado transaccional del carrito y los pedidos; y Vertex AI Gemini 3.1 Flash-Lite impulsa el asistente. Todo se declara con Terraform y se despliega desde GitHub.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rPr>
          <w:cantSplit/>
        </w:trPr>
        <w:tc>
          <w:tcPr>
            <w:tcW w:type="dxa" w:w="9026"/>
            <w:tcBorders>
              <w:top w:val="none" w:color="FFFFFF" w:sz="0"/>
              <w:left w:val="single" w:color="2E75B6" w:sz="24"/>
              <w:bottom w:val="none" w:color="FFFFFF" w:sz="0"/>
              <w:right w:val="none" w:color="FFFFFF" w:sz="0"/>
            </w:tcBorders>
            <w:shd w:fill="EAF1FB" w:color="auto" w:val="clear"/>
            <w:tcMar>
              <w:top w:type="dxa" w:w="120"/>
              <w:left w:type="dxa" w:w="200"/>
              <w:bottom w:type="dxa" w:w="120"/>
              <w:right w:type="dxa" w:w="16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/>
                <w:bCs/>
                <w:color w:val="1F3864"/>
                <w:sz w:val="20"/>
                <w:szCs w:val="20"/>
              </w:rPr>
              <w:t xml:space="preserve">Resultados clave del diseño</w:t>
            </w:r>
          </w:p>
          <w:p>
            <w:pPr>
              <w:spacing w:after="0" w:line="264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Costo estimado de producción a escala H&amp;M: USD 370.83 al mes, equivalente a USD 0.00098 por pedido procesado. Año 1 (11 meses normales + 1 mes pico Black Friday): USD 5,482. Costo de desarrollo y demo del curso: USD 19.77. Todos los componentes de cómputo son serverless o autoescalables, por lo que el costo crece con la demanda y no con la capacidad reservada.</w:t>
            </w:r>
          </w:p>
        </w:tc>
      </w:tr>
    </w:tbl>
    <w:p>
      <w:pPr>
        <w:spacing w:after="80"/>
      </w:pPr>
    </w:p>
    <w:p>
      <w:pPr>
        <w:spacing w:after="120" w:line="276"/>
        <w:jc w:val="both"/>
      </w:pPr>
      <w:r>
        <w:rPr>
          <w:rFonts w:ascii="Arial" w:cs="Arial" w:eastAsia="Arial" w:hAnsi="Arial"/>
        </w:rPr>
        <w:t xml:space="preserve">Los tres pilares que pide el examen se resuelven así: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Arial" w:cs="Arial" w:eastAsia="Arial" w:hAnsi="Arial"/>
          <w:b/>
          <w:bCs/>
        </w:rPr>
        <w:t xml:space="preserve">Escalabilidad: </w:t>
      </w:r>
      <w:r>
        <w:rPr>
          <w:rFonts w:ascii="Arial" w:cs="Arial" w:eastAsia="Arial" w:hAnsi="Arial"/>
        </w:rPr>
        <w:t xml:space="preserve">desacople por Pub/Sub, autoescalado de Dataflow y Cloud Run, y tablas particionadas en BigQuery; modelamos un pico de 5 veces el tráfico normal.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Arial" w:cs="Arial" w:eastAsia="Arial" w:hAnsi="Arial"/>
          <w:b/>
          <w:bCs/>
        </w:rPr>
        <w:t xml:space="preserve">Economía: </w:t>
      </w:r>
      <w:r>
        <w:rPr>
          <w:rFonts w:ascii="Arial" w:cs="Arial" w:eastAsia="Arial" w:hAnsi="Arial"/>
        </w:rPr>
        <w:t xml:space="preserve">calculadora de costos automatizada (supuestos en YAML, Excel con fórmulas, refresco de precios desde la API oficial de facturación), presupuestos con alertas y medición del costo real por pedido.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Arial" w:cs="Arial" w:eastAsia="Arial" w:hAnsi="Arial"/>
          <w:b/>
          <w:bCs/>
        </w:rPr>
        <w:t xml:space="preserve">Resiliencia: </w:t>
      </w:r>
      <w:r>
        <w:rPr>
          <w:rFonts w:ascii="Arial" w:cs="Arial" w:eastAsia="Arial" w:hAnsi="Arial"/>
        </w:rPr>
        <w:t xml:space="preserve">Bronze inmutable y versionado como punto de reconstrucción, retención de mensajes en Pub/Sub, backups y PITR en Cloud SQL, con RPO/RTO definidos por componente.</w:t>
      </w:r>
    </w:p>
    <w:p>
      <w:pPr>
        <w:pStyle w:val="Heading1"/>
      </w:pPr>
      <w:r>
        <w:rPr>
          <w:rFonts w:ascii="Arial" w:cs="Arial" w:eastAsia="Arial" w:hAnsi="Arial"/>
        </w:rPr>
        <w:t xml:space="preserve">2. Contexto de negocio y alcance</w:t>
      </w:r>
    </w:p>
    <w:p>
      <w:pPr>
        <w:pStyle w:val="Heading2"/>
      </w:pPr>
      <w:r>
        <w:rPr>
          <w:rFonts w:ascii="Arial" w:cs="Arial" w:eastAsia="Arial" w:hAnsi="Arial"/>
        </w:rPr>
        <w:t xml:space="preserve">2.1 Problema</w:t>
      </w:r>
    </w:p>
    <w:p>
      <w:pPr>
        <w:spacing w:after="120" w:line="276"/>
        <w:jc w:val="both"/>
      </w:pPr>
      <w:r>
        <w:rPr>
          <w:rFonts w:ascii="Arial" w:cs="Arial" w:eastAsia="Arial" w:hAnsi="Arial"/>
        </w:rPr>
        <w:t xml:space="preserve">Un retailer de moda con canal físico y online acumula millones de transacciones, pero las usa casi solo para reportes contables. Las preguntas de negocio que importan quedan sin respuesta oportuna: qué recomendar a cada cliente, qué productos empujar en temporada alta, cuánto cuesta realmente procesar un pedido y cómo reaccionar en minutos, no en días, ante un pico como Black Friday.</w:t>
      </w:r>
    </w:p>
    <w:p>
      <w:pPr>
        <w:pStyle w:val="Heading2"/>
      </w:pPr>
      <w:r>
        <w:rPr>
          <w:rFonts w:ascii="Arial" w:cs="Arial" w:eastAsia="Arial" w:hAnsi="Arial"/>
        </w:rPr>
        <w:t xml:space="preserve">2.2 Objetivos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Arial" w:cs="Arial" w:eastAsia="Arial" w:hAnsi="Arial"/>
        </w:rPr>
        <w:t xml:space="preserve">Integrar el histórico de ventas (batch) con eventos de navegación y compra en tiempo real (streaming) en una única plataforma gobernada.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Arial" w:cs="Arial" w:eastAsia="Arial" w:hAnsi="Arial"/>
        </w:rPr>
        <w:t xml:space="preserve">Entregar analítica confiable mediante un modelo dimensional en BigQuery y tableros en Looker Studio.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Arial" w:cs="Arial" w:eastAsia="Arial" w:hAnsi="Arial"/>
        </w:rPr>
        <w:t xml:space="preserve">Ofrecer recomendaciones personalizadas y un asistente conversacional que solo propone artículos reales del catálogo.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Arial" w:cs="Arial" w:eastAsia="Arial" w:hAnsi="Arial"/>
        </w:rPr>
        <w:t xml:space="preserve">Mantener el costo por pedido medible, bajo y predecible, con alertas automáticas de presupuesto.</w:t>
      </w:r>
    </w:p>
    <w:p>
      <w:pPr>
        <w:pStyle w:val="Heading2"/>
      </w:pPr>
      <w:r>
        <w:rPr>
          <w:rFonts w:ascii="Arial" w:cs="Arial" w:eastAsia="Arial" w:hAnsi="Arial"/>
        </w:rPr>
        <w:t xml:space="preserve">2.3 Alcance y fuera de alcance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13"/>
        <w:gridCol w:w="4513"/>
      </w:tblGrid>
      <w:tr>
        <w:trPr>
          <w:cantSplit/>
          <w:tblHeader/>
        </w:trPr>
        <w:tc>
          <w:tcPr>
            <w:tcW w:type="dxa" w:w="451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En alcance</w:t>
            </w:r>
          </w:p>
        </w:tc>
        <w:tc>
          <w:tcPr>
            <w:tcW w:type="dxa" w:w="451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Fuera de alcance</w:t>
            </w:r>
          </w:p>
        </w:tc>
      </w:tr>
      <w:tr>
        <w:trPr>
          <w:cantSplit/>
          <w:tblHeader w:val="false"/>
        </w:trPr>
        <w:tc>
          <w:tcPr>
            <w:tcW w:type="dxa" w:w="451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Dataset H&amp;M completo: artículos, clientes, transacciones e imágenes</w:t>
            </w:r>
          </w:p>
        </w:tc>
        <w:tc>
          <w:tcPr>
            <w:tcW w:type="dxa" w:w="451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Otros datasets (Amazon Reviews se descartó; ver §4.3)</w:t>
            </w:r>
          </w:p>
        </w:tc>
      </w:tr>
      <w:tr>
        <w:trPr>
          <w:cantSplit/>
          <w:tblHeader w:val="false"/>
        </w:trPr>
        <w:tc>
          <w:tcPr>
            <w:tcW w:type="dxa" w:w="451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Ingesta batch a GCS y BigQuery; streaming vía Pub/Sub y Dataflow</w:t>
            </w:r>
          </w:p>
        </w:tc>
        <w:tc>
          <w:tcPr>
            <w:tcW w:type="dxa" w:w="451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Integración con sistemas reales de una tienda (POS, ERP)</w:t>
            </w:r>
          </w:p>
        </w:tc>
      </w:tr>
      <w:tr>
        <w:trPr>
          <w:cantSplit/>
          <w:tblHeader w:val="false"/>
        </w:trPr>
        <w:tc>
          <w:tcPr>
            <w:tcW w:type="dxa" w:w="451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Capas Bronze, Silver y Gold; modelo estrella</w:t>
            </w:r>
          </w:p>
        </w:tc>
        <w:tc>
          <w:tcPr>
            <w:tcW w:type="dxa" w:w="451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Pagos reales: el saldo es simulado y no usa tarjetas ni bancos</w:t>
            </w:r>
          </w:p>
        </w:tc>
      </w:tr>
      <w:tr>
        <w:trPr>
          <w:cantSplit/>
          <w:tblHeader w:val="false"/>
        </w:trPr>
        <w:tc>
          <w:tcPr>
            <w:tcW w:type="dxa" w:w="451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API, recomendador, asistente Gemini y web demo</w:t>
            </w:r>
          </w:p>
        </w:tc>
        <w:tc>
          <w:tcPr>
            <w:tcW w:type="dxa" w:w="451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Alta disponibilidad multirregional desplegada (se diseña; el prototipo es de una región)</w:t>
            </w:r>
          </w:p>
        </w:tc>
      </w:tr>
      <w:tr>
        <w:trPr>
          <w:cantSplit/>
          <w:tblHeader w:val="false"/>
        </w:trPr>
        <w:tc>
          <w:tcPr>
            <w:tcW w:type="dxa" w:w="451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Tableros gerenciales y operativos; calculadora de costos</w:t>
            </w:r>
          </w:p>
        </w:tc>
        <w:tc>
          <w:tcPr>
            <w:tcW w:type="dxa" w:w="451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Recomendador visual con imágenes (queda como extensión)</w:t>
            </w:r>
          </w:p>
        </w:tc>
      </w:tr>
    </w:tbl>
    <w:p>
      <w:pPr>
        <w:pStyle w:val="Heading2"/>
      </w:pPr>
      <w:r>
        <w:rPr>
          <w:rFonts w:ascii="Arial" w:cs="Arial" w:eastAsia="Arial" w:hAnsi="Arial"/>
        </w:rPr>
        <w:t xml:space="preserve">2.4 Supuestos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Arial" w:cs="Arial" w:eastAsia="Arial" w:hAnsi="Arial"/>
        </w:rPr>
        <w:t xml:space="preserve">La compra es una simulación: cada recarga de saldo es explícita y auditable; no hay dinero real.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Arial" w:cs="Arial" w:eastAsia="Arial" w:hAnsi="Arial"/>
        </w:rPr>
        <w:t xml:space="preserve">Los eventos de 2026 se generan re-emitiendo transacciones reales de H&amp;M con un nuevo event_time; la fecha original se conserva en source_t_dat y todo evento lleva is_synthetic = true.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Arial" w:cs="Arial" w:eastAsia="Arial" w:hAnsi="Arial"/>
        </w:rPr>
        <w:t xml:space="preserve">El precio de H&amp;M viene normalizado (máximo 0.59); la web aplica un factor de precio demo configurable, señalado como sintético.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Arial" w:cs="Arial" w:eastAsia="Arial" w:hAnsi="Arial"/>
        </w:rPr>
        <w:t xml:space="preserve">Región principal us-central1 (precios de nivel 1 y disponibilidad de Gemini); los datos son públicos y anonimizados, por lo que no hay restricción de residencia.</w:t>
      </w:r>
    </w:p>
    <w:p>
      <w:pPr>
        <w:pStyle w:val="Heading1"/>
      </w:pPr>
      <w:r>
        <w:rPr>
          <w:rFonts w:ascii="Arial" w:cs="Arial" w:eastAsia="Arial" w:hAnsi="Arial"/>
        </w:rPr>
        <w:t xml:space="preserve">3. Equipo y roles</w:t>
      </w:r>
    </w:p>
    <w:p>
      <w:pPr>
        <w:spacing w:after="120" w:line="276"/>
        <w:jc w:val="both"/>
      </w:pPr>
      <w:r>
        <w:rPr>
          <w:rFonts w:ascii="Arial" w:cs="Arial" w:eastAsia="Arial" w:hAnsi="Arial"/>
        </w:rPr>
        <w:t xml:space="preserve">Los roles se asignaron por perfil profesional. Cada tarea tiene un responsable único y un apoyo; el seguimiento detallado está en la matriz de auditoría (docs/gestion/Matriz_Auditoria_Proyecto.xlsx).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47"/>
        <w:gridCol w:w="1770"/>
        <w:gridCol w:w="5309"/>
      </w:tblGrid>
      <w:tr>
        <w:trPr>
          <w:cantSplit/>
          <w:tblHeader/>
        </w:trPr>
        <w:tc>
          <w:tcPr>
            <w:tcW w:type="dxa" w:w="194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Integrante</w:t>
            </w:r>
          </w:p>
        </w:tc>
        <w:tc>
          <w:tcPr>
            <w:tcW w:type="dxa" w:w="17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Perfil</w:t>
            </w:r>
          </w:p>
        </w:tc>
        <w:tc>
          <w:tcPr>
            <w:tcW w:type="dxa" w:w="530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Responsabilidades principales</w:t>
            </w:r>
          </w:p>
        </w:tc>
      </w:tr>
      <w:tr>
        <w:trPr>
          <w:cantSplit/>
          <w:tblHeader w:val="false"/>
        </w:trPr>
        <w:tc>
          <w:tcPr>
            <w:tcW w:type="dxa" w:w="194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Estuardo Oliver</w:t>
            </w:r>
          </w:p>
        </w:tc>
        <w:tc>
          <w:tcPr>
            <w:tcW w:type="dxa" w:w="17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ML / Analytics</w:t>
            </w:r>
          </w:p>
        </w:tc>
        <w:tc>
          <w:tcPr>
            <w:tcW w:type="dxa" w:w="530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Asistente con Vertex AI Gemini (function calling sobre catálogo), recomendador (baseline y contenido), features analíticas, evaluación de modelos, guion de demo y documento técnico</w:t>
            </w:r>
          </w:p>
        </w:tc>
      </w:tr>
      <w:tr>
        <w:trPr>
          <w:cantSplit/>
          <w:tblHeader w:val="false"/>
        </w:trPr>
        <w:tc>
          <w:tcPr>
            <w:tcW w:type="dxa" w:w="194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Winston Quispe</w:t>
            </w:r>
          </w:p>
        </w:tc>
        <w:tc>
          <w:tcPr>
            <w:tcW w:type="dxa" w:w="17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Cloud Computing</w:t>
            </w:r>
          </w:p>
        </w:tc>
        <w:tc>
          <w:tcPr>
            <w:tcW w:type="dxa" w:w="530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Terraform, proyecto GCP e IAM, buckets y Pub/Sub, pipeline Dataflow, CI/CD con GitHub Actions, monitoreo, DRP/HA y automatización de costos</w:t>
            </w:r>
          </w:p>
        </w:tc>
      </w:tr>
      <w:tr>
        <w:trPr>
          <w:cantSplit/>
          <w:tblHeader w:val="false"/>
        </w:trPr>
        <w:tc>
          <w:tcPr>
            <w:tcW w:type="dxa" w:w="194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Nicole Arenas</w:t>
            </w:r>
          </w:p>
        </w:tc>
        <w:tc>
          <w:tcPr>
            <w:tcW w:type="dxa" w:w="17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Datos + API + Modelado</w:t>
            </w:r>
          </w:p>
        </w:tc>
        <w:tc>
          <w:tcPr>
            <w:tcW w:type="dxa" w:w="530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Ingesta batch y Bronze, limpieza Silver y calidad, modelo estrella Gold, diccionario de datos, API FastAPI y base transaccional Cloud SQL</w:t>
            </w:r>
          </w:p>
        </w:tc>
      </w:tr>
      <w:tr>
        <w:trPr>
          <w:cantSplit/>
          <w:tblHeader w:val="false"/>
        </w:trPr>
        <w:tc>
          <w:tcPr>
            <w:tcW w:type="dxa" w:w="194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Gianmarco Mejia</w:t>
            </w:r>
          </w:p>
        </w:tc>
        <w:tc>
          <w:tcPr>
            <w:tcW w:type="dxa" w:w="17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Dashboard / BI</w:t>
            </w:r>
          </w:p>
        </w:tc>
        <w:tc>
          <w:tcPr>
            <w:tcW w:type="dxa" w:w="530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Catálogo de KPIs, calculadora y tablero de costos, diagramas, tableros Looker Studio (gerencial y operativo) y presentación final</w:t>
            </w:r>
          </w:p>
        </w:tc>
      </w:tr>
    </w:tbl>
    <w:p>
      <w:pPr>
        <w:pStyle w:val="Heading1"/>
      </w:pPr>
      <w:r>
        <w:rPr>
          <w:rFonts w:ascii="Arial" w:cs="Arial" w:eastAsia="Arial" w:hAnsi="Arial"/>
        </w:rPr>
        <w:t xml:space="preserve">4. Inventario y perfil de datos</w:t>
      </w:r>
    </w:p>
    <w:p>
      <w:pPr>
        <w:spacing w:after="120" w:line="276"/>
        <w:jc w:val="both"/>
      </w:pPr>
      <w:r>
        <w:rPr>
          <w:rFonts w:ascii="Arial" w:cs="Arial" w:eastAsia="Arial" w:hAnsi="Arial"/>
        </w:rPr>
        <w:t xml:space="preserve">Antes de diseñar, perfilamos los archivos reales en data/raw. Las cifras de esta sección provienen de una lectura completa de cada archivo, no de la documentación del dataset.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83"/>
        <w:gridCol w:w="955"/>
        <w:gridCol w:w="1215"/>
        <w:gridCol w:w="4773"/>
      </w:tblGrid>
      <w:tr>
        <w:trPr>
          <w:cantSplit/>
          <w:tblHeader/>
        </w:trPr>
        <w:tc>
          <w:tcPr>
            <w:tcW w:type="dxa" w:w="208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Archivo</w:t>
            </w:r>
          </w:p>
        </w:tc>
        <w:tc>
          <w:tcPr>
            <w:tcW w:type="dxa" w:w="9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Tamaño</w:t>
            </w:r>
          </w:p>
        </w:tc>
        <w:tc>
          <w:tcPr>
            <w:tcW w:type="dxa" w:w="121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Filas</w:t>
            </w:r>
          </w:p>
        </w:tc>
        <w:tc>
          <w:tcPr>
            <w:tcW w:type="dxa" w:w="477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Contenido y clave</w:t>
            </w:r>
          </w:p>
        </w:tc>
      </w:tr>
      <w:tr>
        <w:trPr>
          <w:cantSplit/>
          <w:tblHeader w:val="false"/>
        </w:trPr>
        <w:tc>
          <w:tcPr>
            <w:tcW w:type="dxa" w:w="208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transactions_train.csv</w:t>
            </w:r>
          </w:p>
        </w:tc>
        <w:tc>
          <w:tcPr>
            <w:tcW w:type="dxa" w:w="9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  <w:jc w:val="righ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3.49 GB</w:t>
            </w:r>
          </w:p>
        </w:tc>
        <w:tc>
          <w:tcPr>
            <w:tcW w:type="dxa" w:w="121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  <w:jc w:val="righ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31,788,324</w:t>
            </w:r>
          </w:p>
        </w:tc>
        <w:tc>
          <w:tcPr>
            <w:tcW w:type="dxa" w:w="477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Venta por línea: t_dat, customer_id, article_id, price, sales_channel_id. 20-sep-2018 a 22-sep-2020 (734 días)</w:t>
            </w:r>
          </w:p>
        </w:tc>
      </w:tr>
      <w:tr>
        <w:trPr>
          <w:cantSplit/>
          <w:tblHeader w:val="false"/>
        </w:trPr>
        <w:tc>
          <w:tcPr>
            <w:tcW w:type="dxa" w:w="208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customers.csv</w:t>
            </w:r>
          </w:p>
        </w:tc>
        <w:tc>
          <w:tcPr>
            <w:tcW w:type="dxa" w:w="9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  <w:jc w:val="righ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207 MB</w:t>
            </w:r>
          </w:p>
        </w:tc>
        <w:tc>
          <w:tcPr>
            <w:tcW w:type="dxa" w:w="121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  <w:jc w:val="righ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1,371,980</w:t>
            </w:r>
          </w:p>
        </w:tc>
        <w:tc>
          <w:tcPr>
            <w:tcW w:type="dxa" w:w="477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customer_id (hash SHA-256), edad, estado de membresía, código postal hasheado</w:t>
            </w:r>
          </w:p>
        </w:tc>
      </w:tr>
      <w:tr>
        <w:trPr>
          <w:cantSplit/>
          <w:tblHeader w:val="false"/>
        </w:trPr>
        <w:tc>
          <w:tcPr>
            <w:tcW w:type="dxa" w:w="208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articles.csv</w:t>
            </w:r>
          </w:p>
        </w:tc>
        <w:tc>
          <w:tcPr>
            <w:tcW w:type="dxa" w:w="9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  <w:jc w:val="righ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36 MB</w:t>
            </w:r>
          </w:p>
        </w:tc>
        <w:tc>
          <w:tcPr>
            <w:tcW w:type="dxa" w:w="121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  <w:jc w:val="righ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105,542</w:t>
            </w:r>
          </w:p>
        </w:tc>
        <w:tc>
          <w:tcPr>
            <w:tcW w:type="dxa" w:w="477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article_id, 47,224 product_code, 131 tipos de producto, 5 grupos de índice, descripción</w:t>
            </w:r>
          </w:p>
        </w:tc>
      </w:tr>
      <w:tr>
        <w:trPr>
          <w:cantSplit/>
          <w:tblHeader w:val="false"/>
        </w:trPr>
        <w:tc>
          <w:tcPr>
            <w:tcW w:type="dxa" w:w="208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images/</w:t>
            </w:r>
          </w:p>
        </w:tc>
        <w:tc>
          <w:tcPr>
            <w:tcW w:type="dxa" w:w="9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  <w:jc w:val="righ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29 GB</w:t>
            </w:r>
          </w:p>
        </w:tc>
        <w:tc>
          <w:tcPr>
            <w:tcW w:type="dxa" w:w="121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  <w:jc w:val="righ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105,100 jpg</w:t>
            </w:r>
          </w:p>
        </w:tc>
        <w:tc>
          <w:tcPr>
            <w:tcW w:type="dxa" w:w="477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Una imagen por artículo en carpetas por prefijo (442 artículos sin imagen)</w:t>
            </w:r>
          </w:p>
        </w:tc>
      </w:tr>
      <w:tr>
        <w:trPr>
          <w:cantSplit/>
          <w:tblHeader w:val="false"/>
        </w:trPr>
        <w:tc>
          <w:tcPr>
            <w:tcW w:type="dxa" w:w="208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sample_submission.csv</w:t>
            </w:r>
          </w:p>
        </w:tc>
        <w:tc>
          <w:tcPr>
            <w:tcW w:type="dxa" w:w="9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  <w:jc w:val="righ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270 MB</w:t>
            </w:r>
          </w:p>
        </w:tc>
        <w:tc>
          <w:tcPr>
            <w:tcW w:type="dxa" w:w="121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  <w:jc w:val="righ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1,371,980</w:t>
            </w:r>
          </w:p>
        </w:tc>
        <w:tc>
          <w:tcPr>
            <w:tcW w:type="dxa" w:w="477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Formato de predicción de la competencia; no se usa como dato de negocio</w:t>
            </w:r>
          </w:p>
        </w:tc>
      </w:tr>
    </w:tbl>
    <w:p>
      <w:pPr>
        <w:spacing w:after="200" w:before="60"/>
        <w:jc w:val="center"/>
      </w:pPr>
      <w:r>
        <w:rPr>
          <w:rFonts w:ascii="Arial" w:cs="Arial" w:eastAsia="Arial" w:hAnsi="Arial"/>
          <w:i/>
          <w:iCs/>
          <w:color w:val="595959"/>
          <w:sz w:val="18"/>
          <w:szCs w:val="18"/>
        </w:rPr>
        <w:t xml:space="preserve">Tabla 1. Inventario de la fuente H&amp;M (medido el 22-oct-2026).</w:t>
      </w:r>
    </w:p>
    <w:p>
      <w:pPr>
        <w:pStyle w:val="Heading2"/>
      </w:pPr>
      <w:r>
        <w:rPr>
          <w:rFonts w:ascii="Arial" w:cs="Arial" w:eastAsia="Arial" w:hAnsi="Arial"/>
        </w:rPr>
        <w:t xml:space="preserve">4.1 Hallazgos de calidad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62"/>
        <w:gridCol w:w="2462"/>
        <w:gridCol w:w="4102"/>
      </w:tblGrid>
      <w:tr>
        <w:trPr>
          <w:cantSplit/>
          <w:tblHeader/>
        </w:trPr>
        <w:tc>
          <w:tcPr>
            <w:tcW w:type="dxa" w:w="246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Hallazgo</w:t>
            </w:r>
          </w:p>
        </w:tc>
        <w:tc>
          <w:tcPr>
            <w:tcW w:type="dxa" w:w="246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Medición</w:t>
            </w:r>
          </w:p>
        </w:tc>
        <w:tc>
          <w:tcPr>
            <w:tcW w:type="dxa" w:w="410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Tratamiento en Silver</w:t>
            </w:r>
          </w:p>
        </w:tc>
      </w:tr>
      <w:tr>
        <w:trPr>
          <w:cantSplit/>
          <w:tblHeader w:val="false"/>
        </w:trPr>
        <w:tc>
          <w:tcPr>
            <w:tcW w:type="dxa" w:w="246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Edad faltante</w:t>
            </w:r>
          </w:p>
        </w:tc>
        <w:tc>
          <w:tcPr>
            <w:tcW w:type="dxa" w:w="246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15,861 clientes (1.2%)</w:t>
            </w:r>
          </w:p>
        </w:tc>
        <w:tc>
          <w:tcPr>
            <w:tcW w:type="dxa" w:w="410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Imputar como desconocida; segmento 'sin edad'</w:t>
            </w:r>
          </w:p>
        </w:tc>
      </w:tr>
      <w:tr>
        <w:trPr>
          <w:cantSplit/>
          <w:tblHeader w:val="false"/>
        </w:trPr>
        <w:tc>
          <w:tcPr>
            <w:tcW w:type="dxa" w:w="246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FN y Active vacíos</w:t>
            </w:r>
          </w:p>
        </w:tc>
        <w:tc>
          <w:tcPr>
            <w:tcW w:type="dxa" w:w="246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895,050 y 907,576 nulos</w:t>
            </w:r>
          </w:p>
        </w:tc>
        <w:tc>
          <w:tcPr>
            <w:tcW w:type="dxa" w:w="410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Interpretar vacío como 0 (bandera no activada)</w:t>
            </w:r>
          </w:p>
        </w:tc>
      </w:tr>
      <w:tr>
        <w:trPr>
          <w:cantSplit/>
          <w:tblHeader w:val="false"/>
        </w:trPr>
        <w:tc>
          <w:tcPr>
            <w:tcW w:type="dxa" w:w="246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Estado de membresía y newsletter</w:t>
            </w:r>
          </w:p>
        </w:tc>
        <w:tc>
          <w:tcPr>
            <w:tcW w:type="dxa" w:w="246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6,062 y 16,009 nulos</w:t>
            </w:r>
          </w:p>
        </w:tc>
        <w:tc>
          <w:tcPr>
            <w:tcW w:type="dxa" w:w="410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Categoría 'NONE'</w:t>
            </w:r>
          </w:p>
        </w:tc>
      </w:tr>
      <w:tr>
        <w:trPr>
          <w:cantSplit/>
          <w:tblHeader w:val="false"/>
        </w:trPr>
        <w:tc>
          <w:tcPr>
            <w:tcW w:type="dxa" w:w="246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Descripción de artículo</w:t>
            </w:r>
          </w:p>
        </w:tc>
        <w:tc>
          <w:tcPr>
            <w:tcW w:type="dxa" w:w="246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416 nulos</w:t>
            </w:r>
          </w:p>
        </w:tc>
        <w:tc>
          <w:tcPr>
            <w:tcW w:type="dxa" w:w="410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Usar nombre y tipo de producto como respaldo</w:t>
            </w:r>
          </w:p>
        </w:tc>
      </w:tr>
      <w:tr>
        <w:trPr>
          <w:cantSplit/>
          <w:tblHeader w:val="false"/>
        </w:trPr>
        <w:tc>
          <w:tcPr>
            <w:tcW w:type="dxa" w:w="246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Precio normalizado</w:t>
            </w:r>
          </w:p>
        </w:tc>
        <w:tc>
          <w:tcPr>
            <w:tcW w:type="dxa" w:w="246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Máximo 0.59; sin moneda</w:t>
            </w:r>
          </w:p>
        </w:tc>
        <w:tc>
          <w:tcPr>
            <w:tcW w:type="dxa" w:w="410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Se conserva; factor de precio demo solo en la web</w:t>
            </w:r>
          </w:p>
        </w:tc>
      </w:tr>
      <w:tr>
        <w:trPr>
          <w:cantSplit/>
          <w:tblHeader w:val="false"/>
        </w:trPr>
        <w:tc>
          <w:tcPr>
            <w:tcW w:type="dxa" w:w="246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Pedido no explícito</w:t>
            </w:r>
          </w:p>
        </w:tc>
        <w:tc>
          <w:tcPr>
            <w:tcW w:type="dxa" w:w="246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Sin order_id</w:t>
            </w:r>
          </w:p>
        </w:tc>
        <w:tc>
          <w:tcPr>
            <w:tcW w:type="dxa" w:w="410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Pedido = cliente + día: 9,080,179 pedidos, 3.5 líneas de media</w:t>
            </w:r>
          </w:p>
        </w:tc>
      </w:tr>
    </w:tbl>
    <w:p>
      <w:pPr>
        <w:spacing w:after="200" w:before="60"/>
        <w:jc w:val="center"/>
      </w:pPr>
      <w:r>
        <w:rPr>
          <w:rFonts w:ascii="Arial" w:cs="Arial" w:eastAsia="Arial" w:hAnsi="Arial"/>
          <w:i/>
          <w:iCs/>
          <w:color w:val="595959"/>
          <w:sz w:val="18"/>
          <w:szCs w:val="18"/>
        </w:rPr>
        <w:t xml:space="preserve">Tabla 2. Calidad de datos y regla de tratamiento.</w:t>
      </w:r>
    </w:p>
    <w:p>
      <w:pPr>
        <w:pStyle w:val="Heading2"/>
      </w:pPr>
      <w:r>
        <w:rPr>
          <w:rFonts w:ascii="Arial" w:cs="Arial" w:eastAsia="Arial" w:hAnsi="Arial"/>
        </w:rPr>
        <w:t xml:space="preserve">4.2 Patrones de negocio útiles para el diseño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Arial" w:cs="Arial" w:eastAsia="Arial" w:hAnsi="Arial"/>
          <w:b/>
          <w:bCs/>
        </w:rPr>
        <w:t xml:space="preserve">Volumen: </w:t>
      </w:r>
      <w:r>
        <w:rPr>
          <w:rFonts w:ascii="Arial" w:cs="Arial" w:eastAsia="Arial" w:hAnsi="Arial"/>
        </w:rPr>
        <w:t xml:space="preserve">~1.32 millones de líneas y ~377 mil pedidos por mes; el mes más alto (junio de 2019, 1.91 millones de líneas) es 1.44 veces el promedio.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Arial" w:cs="Arial" w:eastAsia="Arial" w:hAnsi="Arial"/>
          <w:b/>
          <w:bCs/>
        </w:rPr>
        <w:t xml:space="preserve">Canal: </w:t>
      </w:r>
      <w:r>
        <w:rPr>
          <w:rFonts w:ascii="Arial" w:cs="Arial" w:eastAsia="Arial" w:hAnsi="Arial"/>
        </w:rPr>
        <w:t xml:space="preserve">70.4% de las líneas son del canal online (22.4 millones) y 29.6% de tienda física.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Arial" w:cs="Arial" w:eastAsia="Arial" w:hAnsi="Arial"/>
          <w:b/>
          <w:bCs/>
        </w:rPr>
        <w:t xml:space="preserve">Caso bebé: </w:t>
      </w:r>
      <w:r>
        <w:rPr>
          <w:rFonts w:ascii="Arial" w:cs="Arial" w:eastAsia="Arial" w:hAnsi="Arial"/>
        </w:rPr>
        <w:t xml:space="preserve">34,711 artículos pertenecen al grupo Baby/Children (8,875 de ellos con tallas de bebé), por lo que el caso de demo “necesito algo para mi bebé” se resuelve con catálogo real.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Arial" w:cs="Arial" w:eastAsia="Arial" w:hAnsi="Arial"/>
          <w:b/>
          <w:bCs/>
        </w:rPr>
        <w:t xml:space="preserve">Privacidad: </w:t>
      </w:r>
      <w:r>
        <w:rPr>
          <w:rFonts w:ascii="Arial" w:cs="Arial" w:eastAsia="Arial" w:hAnsi="Arial"/>
        </w:rPr>
        <w:t xml:space="preserve">customer_id y postal_code ya vienen seudonimizados con hash; no hay nombres, correos ni teléfonos.</w:t>
      </w:r>
    </w:p>
    <w:p>
      <w:pPr>
        <w:pStyle w:val="Heading2"/>
      </w:pPr>
      <w:r>
        <w:rPr>
          <w:rFonts w:ascii="Arial" w:cs="Arial" w:eastAsia="Arial" w:hAnsi="Arial"/>
        </w:rPr>
        <w:t xml:space="preserve">4.3 Decisión sobre la fuente Amazon Reviews 2023</w:t>
      </w:r>
    </w:p>
    <w:p>
      <w:pPr>
        <w:spacing w:after="120" w:line="276"/>
        <w:jc w:val="both"/>
      </w:pPr>
      <w:r>
        <w:rPr>
          <w:rFonts w:ascii="Arial" w:cs="Arial" w:eastAsia="Arial" w:hAnsi="Arial"/>
        </w:rPr>
        <w:t xml:space="preserve">Evaluamos Amazon Reviews 2023 como segunda fuente. La descartamos porque sus identificadores (ASIN, user_id) no comparten espacio con los de H&amp;M y tres de las seis categorías descargadas no tienen relación con moda. Unir ambas fuentes sin una clave común habría requerido inventar correspondencias. Los archivos quedan archivados fuera del repositorio.</w:t>
      </w:r>
    </w:p>
    <w:p>
      <w:pPr>
        <w:pStyle w:val="Heading1"/>
      </w:pPr>
      <w:r>
        <w:rPr>
          <w:rFonts w:ascii="Arial" w:cs="Arial" w:eastAsia="Arial" w:hAnsi="Arial"/>
        </w:rPr>
        <w:t xml:space="preserve">5. Stack tecnológico y justificación</w:t>
      </w:r>
    </w:p>
    <w:p>
      <w:pPr>
        <w:spacing w:after="120" w:line="276"/>
        <w:jc w:val="both"/>
      </w:pPr>
      <w:r>
        <w:rPr>
          <w:rFonts w:ascii="Arial" w:cs="Arial" w:eastAsia="Arial" w:hAnsi="Arial"/>
        </w:rPr>
        <w:t xml:space="preserve">Priorizamos componentes de GCP vistos en clase, serverless y con pago por uso. Cada decisión se tomó frente a una alternativa concreta.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44"/>
        <w:gridCol w:w="1986"/>
        <w:gridCol w:w="3249"/>
        <w:gridCol w:w="2347"/>
      </w:tblGrid>
      <w:tr>
        <w:trPr>
          <w:cantSplit/>
          <w:tblHeader/>
        </w:trPr>
        <w:tc>
          <w:tcPr>
            <w:tcW w:type="dxa" w:w="144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Capa</w:t>
            </w:r>
          </w:p>
        </w:tc>
        <w:tc>
          <w:tcPr>
            <w:tcW w:type="dxa" w:w="1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Servicio elegido</w:t>
            </w:r>
          </w:p>
        </w:tc>
        <w:tc>
          <w:tcPr>
            <w:tcW w:type="dxa" w:w="32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Por qué</w:t>
            </w:r>
          </w:p>
        </w:tc>
        <w:tc>
          <w:tcPr>
            <w:tcW w:type="dxa" w:w="234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Alternativa descartada</w:t>
            </w:r>
          </w:p>
        </w:tc>
      </w:tr>
      <w:tr>
        <w:trPr>
          <w:cantSplit/>
          <w:tblHeader w:val="false"/>
        </w:trPr>
        <w:tc>
          <w:tcPr>
            <w:tcW w:type="dxa" w:w="144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Data Lake</w:t>
            </w:r>
          </w:p>
        </w:tc>
        <w:tc>
          <w:tcPr>
            <w:tcW w:type="dxa" w:w="1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Cloud Storage (2 buckets privados)</w:t>
            </w:r>
          </w:p>
        </w:tc>
        <w:tc>
          <w:tcPr>
            <w:tcW w:type="dxa" w:w="32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Barato (USD 0.020/GB-mes), durable, versionado; desacopla almacenamiento de cómputo</w:t>
            </w:r>
          </w:p>
        </w:tc>
        <w:tc>
          <w:tcPr>
            <w:tcW w:type="dxa" w:w="234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HDFS en Dataproc: paga nodos encendidos</w:t>
            </w:r>
          </w:p>
        </w:tc>
      </w:tr>
      <w:tr>
        <w:trPr>
          <w:cantSplit/>
          <w:tblHeader w:val="false"/>
        </w:trPr>
        <w:tc>
          <w:tcPr>
            <w:tcW w:type="dxa" w:w="144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Data Warehouse</w:t>
            </w:r>
          </w:p>
        </w:tc>
        <w:tc>
          <w:tcPr>
            <w:tcW w:type="dxa" w:w="1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BigQuery</w:t>
            </w:r>
          </w:p>
        </w:tc>
        <w:tc>
          <w:tcPr>
            <w:tcW w:type="dxa" w:w="32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Serverless, SQL estándar, particionado y clustering; 1 TiB de consulta gratis al mes</w:t>
            </w:r>
          </w:p>
        </w:tc>
        <w:tc>
          <w:tcPr>
            <w:tcW w:type="dxa" w:w="234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Cloud SQL para analítica: no escala a 31.8M filas con consultas ad hoc</w:t>
            </w:r>
          </w:p>
        </w:tc>
      </w:tr>
      <w:tr>
        <w:trPr>
          <w:cantSplit/>
          <w:tblHeader w:val="false"/>
        </w:trPr>
        <w:tc>
          <w:tcPr>
            <w:tcW w:type="dxa" w:w="144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Ingesta streaming</w:t>
            </w:r>
          </w:p>
        </w:tc>
        <w:tc>
          <w:tcPr>
            <w:tcW w:type="dxa" w:w="1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Pub/Sub + suscripción BigQuery</w:t>
            </w:r>
          </w:p>
        </w:tc>
        <w:tc>
          <w:tcPr>
            <w:tcW w:type="dxa" w:w="32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Absorbe picos, retiene mensajes, DLQ nativa; la suscripción BQ evita un job permanente</w:t>
            </w:r>
          </w:p>
        </w:tc>
        <w:tc>
          <w:tcPr>
            <w:tcW w:type="dxa" w:w="234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Kafka autogestionado: operación y costo fijo</w:t>
            </w:r>
          </w:p>
        </w:tc>
      </w:tr>
      <w:tr>
        <w:trPr>
          <w:cantSplit/>
          <w:tblHeader w:val="false"/>
        </w:trPr>
        <w:tc>
          <w:tcPr>
            <w:tcW w:type="dxa" w:w="144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Procesamiento streaming</w:t>
            </w:r>
          </w:p>
        </w:tc>
        <w:tc>
          <w:tcPr>
            <w:tcW w:type="dxa" w:w="1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Dataflow (Apache Beam)</w:t>
            </w:r>
          </w:p>
        </w:tc>
        <w:tc>
          <w:tcPr>
            <w:tcW w:type="dxa" w:w="32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Ventanas, deduplicación, datos tardíos y autoescalado; mismo código batch/stream</w:t>
            </w:r>
          </w:p>
        </w:tc>
        <w:tc>
          <w:tcPr>
            <w:tcW w:type="dxa" w:w="234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Cloud Functions: sin estado ni ventanas</w:t>
            </w:r>
          </w:p>
        </w:tc>
      </w:tr>
      <w:tr>
        <w:trPr>
          <w:cantSplit/>
          <w:tblHeader w:val="false"/>
        </w:trPr>
        <w:tc>
          <w:tcPr>
            <w:tcW w:type="dxa" w:w="144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Procesamiento batch</w:t>
            </w:r>
          </w:p>
        </w:tc>
        <w:tc>
          <w:tcPr>
            <w:tcW w:type="dxa" w:w="1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Serverless for Apache Spark (Dataproc) + BigQuery SQL</w:t>
            </w:r>
          </w:p>
        </w:tc>
        <w:tc>
          <w:tcPr>
            <w:tcW w:type="dxa" w:w="32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Spark sin clúster para limpieza a Parquet; SQL para Gold</w:t>
            </w:r>
          </w:p>
        </w:tc>
        <w:tc>
          <w:tcPr>
            <w:tcW w:type="dxa" w:w="234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Clúster Dataproc permanente</w:t>
            </w:r>
          </w:p>
        </w:tc>
      </w:tr>
      <w:tr>
        <w:trPr>
          <w:cantSplit/>
          <w:tblHeader w:val="false"/>
        </w:trPr>
        <w:tc>
          <w:tcPr>
            <w:tcW w:type="dxa" w:w="144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OLTP</w:t>
            </w:r>
          </w:p>
        </w:tc>
        <w:tc>
          <w:tcPr>
            <w:tcW w:type="dxa" w:w="1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Cloud SQL PostgreSQL</w:t>
            </w:r>
          </w:p>
        </w:tc>
        <w:tc>
          <w:tcPr>
            <w:tcW w:type="dxa" w:w="32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ACID para carrito, pedidos y ledger del saldo</w:t>
            </w:r>
          </w:p>
        </w:tc>
        <w:tc>
          <w:tcPr>
            <w:tcW w:type="dxa" w:w="234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BigQuery: no es transaccional</w:t>
            </w:r>
          </w:p>
        </w:tc>
      </w:tr>
      <w:tr>
        <w:trPr>
          <w:cantSplit/>
          <w:tblHeader w:val="false"/>
        </w:trPr>
        <w:tc>
          <w:tcPr>
            <w:tcW w:type="dxa" w:w="144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API y web</w:t>
            </w:r>
          </w:p>
        </w:tc>
        <w:tc>
          <w:tcPr>
            <w:tcW w:type="dxa" w:w="1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Cloud Run</w:t>
            </w:r>
          </w:p>
        </w:tc>
        <w:tc>
          <w:tcPr>
            <w:tcW w:type="dxa" w:w="32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Contenedores que escalan a cero; 2M requests gratis/mes</w:t>
            </w:r>
          </w:p>
        </w:tc>
        <w:tc>
          <w:tcPr>
            <w:tcW w:type="dxa" w:w="234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GKE: sobredimensionado para el caso</w:t>
            </w:r>
          </w:p>
        </w:tc>
      </w:tr>
      <w:tr>
        <w:trPr>
          <w:cantSplit/>
          <w:tblHeader w:val="false"/>
        </w:trPr>
        <w:tc>
          <w:tcPr>
            <w:tcW w:type="dxa" w:w="144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IA generativa</w:t>
            </w:r>
          </w:p>
        </w:tc>
        <w:tc>
          <w:tcPr>
            <w:tcW w:type="dxa" w:w="1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Vertex AI Gemini 3.1 Flash-Lite</w:t>
            </w:r>
          </w:p>
        </w:tc>
        <w:tc>
          <w:tcPr>
            <w:tcW w:type="dxa" w:w="32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Gemini más económico vigente en Vertex AI (USD 0.25/1.50 por millón de tokens); salida estructurada</w:t>
            </w:r>
          </w:p>
        </w:tc>
        <w:tc>
          <w:tcPr>
            <w:tcW w:type="dxa" w:w="234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LLM propio en GPU: costo fijo alto</w:t>
            </w:r>
          </w:p>
        </w:tc>
      </w:tr>
      <w:tr>
        <w:trPr>
          <w:cantSplit/>
          <w:tblHeader w:val="false"/>
        </w:trPr>
        <w:tc>
          <w:tcPr>
            <w:tcW w:type="dxa" w:w="144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BI</w:t>
            </w:r>
          </w:p>
        </w:tc>
        <w:tc>
          <w:tcPr>
            <w:tcW w:type="dxa" w:w="1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Looker Studio</w:t>
            </w:r>
          </w:p>
        </w:tc>
        <w:tc>
          <w:tcPr>
            <w:tcW w:type="dxa" w:w="32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Sin licencia, conector nativo a BigQuery</w:t>
            </w:r>
          </w:p>
        </w:tc>
        <w:tc>
          <w:tcPr>
            <w:tcW w:type="dxa" w:w="234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Tableau/Power BI: licencias</w:t>
            </w:r>
          </w:p>
        </w:tc>
      </w:tr>
      <w:tr>
        <w:trPr>
          <w:cantSplit/>
          <w:tblHeader w:val="false"/>
        </w:trPr>
        <w:tc>
          <w:tcPr>
            <w:tcW w:type="dxa" w:w="144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IaC y CI/CD</w:t>
            </w:r>
          </w:p>
        </w:tc>
        <w:tc>
          <w:tcPr>
            <w:tcW w:type="dxa" w:w="1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Terraform + GitHub Actions (WIF)</w:t>
            </w:r>
          </w:p>
        </w:tc>
        <w:tc>
          <w:tcPr>
            <w:tcW w:type="dxa" w:w="32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Infraestructura reproducible; sin llaves permanentes</w:t>
            </w:r>
          </w:p>
        </w:tc>
        <w:tc>
          <w:tcPr>
            <w:tcW w:type="dxa" w:w="234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Configuración manual en consola</w:t>
            </w:r>
          </w:p>
        </w:tc>
      </w:tr>
    </w:tbl>
    <w:p>
      <w:pPr>
        <w:spacing w:after="200" w:before="60"/>
        <w:jc w:val="center"/>
      </w:pPr>
      <w:r>
        <w:rPr>
          <w:rFonts w:ascii="Arial" w:cs="Arial" w:eastAsia="Arial" w:hAnsi="Arial"/>
          <w:i/>
          <w:iCs/>
          <w:color w:val="595959"/>
          <w:sz w:val="18"/>
          <w:szCs w:val="18"/>
        </w:rPr>
        <w:t xml:space="preserve">Tabla 3. Decisiones tecnológicas (ADR resumidos).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rPr>
          <w:cantSplit/>
        </w:trPr>
        <w:tc>
          <w:tcPr>
            <w:tcW w:type="dxa" w:w="9026"/>
            <w:tcBorders>
              <w:top w:val="none" w:color="FFFFFF" w:sz="0"/>
              <w:left w:val="single" w:color="2E75B6" w:sz="24"/>
              <w:bottom w:val="none" w:color="FFFFFF" w:sz="0"/>
              <w:right w:val="none" w:color="FFFFFF" w:sz="0"/>
            </w:tcBorders>
            <w:shd w:fill="EAF1FB" w:color="auto" w:val="clear"/>
            <w:tcMar>
              <w:top w:type="dxa" w:w="120"/>
              <w:left w:type="dxa" w:w="200"/>
              <w:bottom w:type="dxa" w:w="120"/>
              <w:right w:type="dxa" w:w="16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/>
                <w:bCs/>
                <w:color w:val="1F3864"/>
                <w:sz w:val="20"/>
                <w:szCs w:val="20"/>
              </w:rPr>
              <w:t xml:space="preserve">Sobre el costo de Vertex AI Gemini</w:t>
            </w:r>
          </w:p>
          <w:p>
            <w:pPr>
              <w:spacing w:after="0" w:line="264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Gemini en Vertex AI no es gratuito, pero su costo es marginal: una conversación típica (≈3,000 tokens de entrada y 400 de salida) cuesta alrededor de USD 0.0014. Mil conversaciones de prueba cuestan unos USD 1.40, y los créditos de bienvenida de GCP (USD 300 para cuentas nuevas) cubren holgadamente el proyecto. Se limita además con cuotas por minuto y con el presupuesto con alertas descrito en §9.3.</w:t>
            </w:r>
          </w:p>
        </w:tc>
      </w:tr>
    </w:tbl>
    <w:p>
      <w:pPr>
        <w:pStyle w:val="Heading1"/>
        <w:pageBreakBefore/>
      </w:pPr>
      <w:r>
        <w:rPr>
          <w:rFonts w:ascii="Arial" w:cs="Arial" w:eastAsia="Arial" w:hAnsi="Arial"/>
        </w:rPr>
        <w:t xml:space="preserve">6. Arquitectura end-to-end</w:t>
      </w:r>
    </w:p>
    <w:p>
      <w:pPr>
        <w:spacing w:after="120" w:line="276"/>
        <w:jc w:val="both"/>
      </w:pPr>
      <w:r>
        <w:rPr>
          <w:rFonts w:ascii="Arial" w:cs="Arial" w:eastAsia="Arial" w:hAnsi="Arial"/>
        </w:rPr>
        <w:t xml:space="preserve">La Figura 1 muestra las cinco capas que exige P1 (ingesta, almacenamiento, cómputo y exposición, más las fuentes) y los componentes transversales de seguridad, operación y costos.</w:t>
      </w:r>
    </w:p>
    <w:p>
      <w:pPr>
        <w:spacing w:after="0"/>
        <w:jc w:val="center"/>
      </w:pPr>
      <w:r>
        <w:drawing>
          <wp:inline distT="0" distB="0" distL="0" distR="0">
            <wp:extent cx="5524500" cy="7029450"/>
            <wp:effectExtent t="0" r="0" b="0" l="0"/>
            <wp:docPr id="1" name="arquitectura" descr="Arquitectura end-to-end de la plataforma" title="Arquitectura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24500" cy="7029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Arial" w:cs="Arial" w:eastAsia="Arial" w:hAnsi="Arial"/>
          <w:i/>
          <w:iCs/>
          <w:color w:val="595959"/>
          <w:sz w:val="18"/>
          <w:szCs w:val="18"/>
        </w:rPr>
        <w:t xml:space="preserve">Figura 1. Arquitectura end-to-end (fuente regenerable: docs/architecture/arquitectura_vertical.dot).</w:t>
      </w:r>
    </w:p>
    <w:p>
      <w:pPr>
        <w:pStyle w:val="Heading2"/>
      </w:pPr>
      <w:r>
        <w:rPr>
          <w:rFonts w:ascii="Arial" w:cs="Arial" w:eastAsia="Arial" w:hAnsi="Arial"/>
        </w:rPr>
        <w:t xml:space="preserve">6.1 Flujo batch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Arial" w:cs="Arial" w:eastAsia="Arial" w:hAnsi="Arial"/>
        </w:rPr>
        <w:t xml:space="preserve">upload_raw.py calcula un manifiesto (SHA-256, bytes, filas, columnas) y sincroniza data/raw con el bucket raw mediante gcloud storage rsync. Reejecutar no duplica datos.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Arial" w:cs="Arial" w:eastAsia="Arial" w:hAnsi="Arial"/>
        </w:rPr>
        <w:t xml:space="preserve">BigQuery lee los CSV de Bronze como tablas externas y materializa transactions particionada por día y agrupada por cliente y artículo (sql/bronze/01_bronze_hm.sql).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Arial" w:cs="Arial" w:eastAsia="Arial" w:hAnsi="Arial"/>
        </w:rPr>
        <w:t xml:space="preserve">Serverless Spark limpia y tipa hacia Silver en Parquet; BigQuery SQL construye el modelo estrella Gold.</w:t>
      </w:r>
    </w:p>
    <w:p>
      <w:pPr>
        <w:pStyle w:val="Heading2"/>
      </w:pPr>
      <w:r>
        <w:rPr>
          <w:rFonts w:ascii="Arial" w:cs="Arial" w:eastAsia="Arial" w:hAnsi="Arial"/>
        </w:rPr>
        <w:t xml:space="preserve">6.2 Flujo streaming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Arial" w:cs="Arial" w:eastAsia="Arial" w:hAnsi="Arial"/>
        </w:rPr>
        <w:t xml:space="preserve">El publicador replay_publisher.py re-emite transacciones reales como eventos de 2026 hacia el tópico retail-events. Cada evento lleva event_id determinista (idempotencia), event_time 2026, source_t_dat original y la marca is_synthetic.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Arial" w:cs="Arial" w:eastAsia="Arial" w:hAnsi="Arial"/>
        </w:rPr>
        <w:t xml:space="preserve">Ruta económica: una suscripción Pub/Sub → BigQuery escribe los mensajes crudos en retail_bronze.events_raw sin ningún job intermedio.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Arial" w:cs="Arial" w:eastAsia="Arial" w:hAnsi="Arial"/>
        </w:rPr>
        <w:t xml:space="preserve">Ruta enriquecida (ventana de demo): Dataflow lee la suscripción dedicada, deduplica por event_id, agrega en ventanas de 1 minuto, maneja datos tardíos y envía errores a la DLQ.</w:t>
      </w:r>
    </w:p>
    <w:p>
      <w:pPr>
        <w:pStyle w:val="Heading2"/>
      </w:pPr>
      <w:r>
        <w:rPr>
          <w:rFonts w:ascii="Arial" w:cs="Arial" w:eastAsia="Arial" w:hAnsi="Arial"/>
        </w:rPr>
        <w:t xml:space="preserve">6.3 Integración multifuente</w:t>
      </w:r>
    </w:p>
    <w:p>
      <w:pPr>
        <w:spacing w:after="120" w:line="276"/>
        <w:jc w:val="both"/>
      </w:pPr>
      <w:r>
        <w:rPr>
          <w:rFonts w:ascii="Arial" w:cs="Arial" w:eastAsia="Arial" w:hAnsi="Arial"/>
        </w:rPr>
        <w:t xml:space="preserve">El histórico batch y el flujo streaming se cruzan por las claves naturales de H&amp;M (article_id y customer_id), que son las mismas en ambos caminos porque el streaming re-emite registros del propio dataset. Para no mezclar historia con simulación separamos dos relojes: source_t_dat (fecha real, nunca se reescribe) y event_time (fecha simulada 2026). Toda tabla lleva _source_system y _ingested_at para trazabilidad.</w:t>
      </w:r>
    </w:p>
    <w:p>
      <w:pPr>
        <w:pStyle w:val="Heading1"/>
      </w:pPr>
      <w:r>
        <w:rPr>
          <w:rFonts w:ascii="Arial" w:cs="Arial" w:eastAsia="Arial" w:hAnsi="Arial"/>
        </w:rPr>
        <w:t xml:space="preserve">7. Definición de ingesta y almacenamiento</w:t>
      </w:r>
    </w:p>
    <w:p>
      <w:pPr>
        <w:pStyle w:val="Heading2"/>
      </w:pPr>
      <w:r>
        <w:rPr>
          <w:rFonts w:ascii="Arial" w:cs="Arial" w:eastAsia="Arial" w:hAnsi="Arial"/>
        </w:rPr>
        <w:t xml:space="preserve">7.1 Mecanismos de captura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57"/>
        <w:gridCol w:w="2445"/>
        <w:gridCol w:w="1504"/>
        <w:gridCol w:w="2820"/>
      </w:tblGrid>
      <w:tr>
        <w:trPr>
          <w:cantSplit/>
          <w:tblHeader/>
        </w:trPr>
        <w:tc>
          <w:tcPr>
            <w:tcW w:type="dxa" w:w="225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Flujo</w:t>
            </w:r>
          </w:p>
        </w:tc>
        <w:tc>
          <w:tcPr>
            <w:tcW w:type="dxa" w:w="244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Mecanismo</w:t>
            </w:r>
          </w:p>
        </w:tc>
        <w:tc>
          <w:tcPr>
            <w:tcW w:type="dxa" w:w="15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Frecuencia</w:t>
            </w:r>
          </w:p>
        </w:tc>
        <w:tc>
          <w:tcPr>
            <w:tcW w:type="dxa" w:w="28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Garantías</w:t>
            </w:r>
          </w:p>
        </w:tc>
      </w:tr>
      <w:tr>
        <w:trPr>
          <w:cantSplit/>
          <w:tblHeader w:val="false"/>
        </w:trPr>
        <w:tc>
          <w:tcPr>
            <w:tcW w:type="dxa" w:w="225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Histórico H&amp;M (CSV + imágenes)</w:t>
            </w:r>
          </w:p>
        </w:tc>
        <w:tc>
          <w:tcPr>
            <w:tcW w:type="dxa" w:w="244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gcloud storage rsync + manifiesto SHA-256</w:t>
            </w:r>
          </w:p>
        </w:tc>
        <w:tc>
          <w:tcPr>
            <w:tcW w:type="dxa" w:w="15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Carga inicial y reprocesos</w:t>
            </w:r>
          </w:p>
        </w:tc>
        <w:tc>
          <w:tcPr>
            <w:tcW w:type="dxa" w:w="28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Idempotente; checksum y conteo por archivo</w:t>
            </w:r>
          </w:p>
        </w:tc>
      </w:tr>
      <w:tr>
        <w:trPr>
          <w:cantSplit/>
          <w:tblHeader w:val="false"/>
        </w:trPr>
        <w:tc>
          <w:tcPr>
            <w:tcW w:type="dxa" w:w="225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Eventos de compra/navegación</w:t>
            </w:r>
          </w:p>
        </w:tc>
        <w:tc>
          <w:tcPr>
            <w:tcW w:type="dxa" w:w="244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Pub/Sub (tópico retail-events)</w:t>
            </w:r>
          </w:p>
        </w:tc>
        <w:tc>
          <w:tcPr>
            <w:tcW w:type="dxa" w:w="15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Continuo, segundos</w:t>
            </w:r>
          </w:p>
        </w:tc>
        <w:tc>
          <w:tcPr>
            <w:tcW w:type="dxa" w:w="28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Entrega al menos una vez; dedup por event_id; DLQ tras 5 intentos</w:t>
            </w:r>
          </w:p>
        </w:tc>
      </w:tr>
      <w:tr>
        <w:trPr>
          <w:cantSplit/>
          <w:tblHeader w:val="false"/>
        </w:trPr>
        <w:tc>
          <w:tcPr>
            <w:tcW w:type="dxa" w:w="225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Pedidos y saldo de la web</w:t>
            </w:r>
          </w:p>
        </w:tc>
        <w:tc>
          <w:tcPr>
            <w:tcW w:type="dxa" w:w="244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Cloud SQL (escritura transaccional)</w:t>
            </w:r>
          </w:p>
        </w:tc>
        <w:tc>
          <w:tcPr>
            <w:tcW w:type="dxa" w:w="15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En línea</w:t>
            </w:r>
          </w:p>
        </w:tc>
        <w:tc>
          <w:tcPr>
            <w:tcW w:type="dxa" w:w="28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ACID; clave de idempotencia por checkout</w:t>
            </w:r>
          </w:p>
        </w:tc>
      </w:tr>
      <w:tr>
        <w:trPr>
          <w:cantSplit/>
          <w:tblHeader w:val="false"/>
        </w:trPr>
        <w:tc>
          <w:tcPr>
            <w:tcW w:type="dxa" w:w="225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Costos de la plataforma</w:t>
            </w:r>
          </w:p>
        </w:tc>
        <w:tc>
          <w:tcPr>
            <w:tcW w:type="dxa" w:w="244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Billing export a BigQuery</w:t>
            </w:r>
          </w:p>
        </w:tc>
        <w:tc>
          <w:tcPr>
            <w:tcW w:type="dxa" w:w="15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Diario</w:t>
            </w:r>
          </w:p>
        </w:tc>
        <w:tc>
          <w:tcPr>
            <w:tcW w:type="dxa" w:w="28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Fuente oficial de facturación</w:t>
            </w:r>
          </w:p>
        </w:tc>
      </w:tr>
    </w:tbl>
    <w:p>
      <w:pPr>
        <w:spacing w:after="200" w:before="60"/>
        <w:jc w:val="center"/>
      </w:pPr>
      <w:r>
        <w:rPr>
          <w:rFonts w:ascii="Arial" w:cs="Arial" w:eastAsia="Arial" w:hAnsi="Arial"/>
          <w:i/>
          <w:iCs/>
          <w:color w:val="595959"/>
          <w:sz w:val="18"/>
          <w:szCs w:val="18"/>
        </w:rPr>
        <w:t xml:space="preserve">Tabla 4. Mecanismos de captura.</w:t>
      </w:r>
    </w:p>
    <w:p>
      <w:pPr>
        <w:pStyle w:val="Heading2"/>
      </w:pPr>
      <w:r>
        <w:rPr>
          <w:rFonts w:ascii="Arial" w:cs="Arial" w:eastAsia="Arial" w:hAnsi="Arial"/>
        </w:rPr>
        <w:t xml:space="preserve">7.2 Motores de almacenamiento y modelo medallion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27"/>
        <w:gridCol w:w="1947"/>
        <w:gridCol w:w="1593"/>
        <w:gridCol w:w="2389"/>
        <w:gridCol w:w="1770"/>
      </w:tblGrid>
      <w:tr>
        <w:trPr>
          <w:cantSplit/>
          <w:tblHeader/>
        </w:trPr>
        <w:tc>
          <w:tcPr>
            <w:tcW w:type="dxa" w:w="132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Capa</w:t>
            </w:r>
          </w:p>
        </w:tc>
        <w:tc>
          <w:tcPr>
            <w:tcW w:type="dxa" w:w="194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Motor y ubicación</w:t>
            </w:r>
          </w:p>
        </w:tc>
        <w:tc>
          <w:tcPr>
            <w:tcW w:type="dxa" w:w="159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Formato</w:t>
            </w:r>
          </w:p>
        </w:tc>
        <w:tc>
          <w:tcPr>
            <w:tcW w:type="dxa" w:w="238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Contenido</w:t>
            </w:r>
          </w:p>
        </w:tc>
        <w:tc>
          <w:tcPr>
            <w:tcW w:type="dxa" w:w="17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Política</w:t>
            </w:r>
          </w:p>
        </w:tc>
      </w:tr>
      <w:tr>
        <w:trPr>
          <w:cantSplit/>
          <w:tblHeader w:val="false"/>
        </w:trPr>
        <w:tc>
          <w:tcPr>
            <w:tcW w:type="dxa" w:w="132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Bronze</w:t>
            </w:r>
          </w:p>
        </w:tc>
        <w:tc>
          <w:tcPr>
            <w:tcW w:type="dxa" w:w="194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GCS raw (gs://…-retail-raw/hm/) + BigQuery retail_bronze</w:t>
            </w:r>
          </w:p>
        </w:tc>
        <w:tc>
          <w:tcPr>
            <w:tcW w:type="dxa" w:w="159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CSV/JPG originales; tablas externas y events_raw</w:t>
            </w:r>
          </w:p>
        </w:tc>
        <w:tc>
          <w:tcPr>
            <w:tcW w:type="dxa" w:w="238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Copia exacta de H&amp;M y eventos crudos</w:t>
            </w:r>
          </w:p>
        </w:tc>
        <w:tc>
          <w:tcPr>
            <w:tcW w:type="dxa" w:w="17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Inmutable, versionado, imágenes a Nearline a los 30 días</w:t>
            </w:r>
          </w:p>
        </w:tc>
      </w:tr>
      <w:tr>
        <w:trPr>
          <w:cantSplit/>
          <w:tblHeader w:val="false"/>
        </w:trPr>
        <w:tc>
          <w:tcPr>
            <w:tcW w:type="dxa" w:w="132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Silver</w:t>
            </w:r>
          </w:p>
        </w:tc>
        <w:tc>
          <w:tcPr>
            <w:tcW w:type="dxa" w:w="194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GCS lake + BigQuery retail_silver</w:t>
            </w:r>
          </w:p>
        </w:tc>
        <w:tc>
          <w:tcPr>
            <w:tcW w:type="dxa" w:w="159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Parquet particionado por fecha</w:t>
            </w:r>
          </w:p>
        </w:tc>
        <w:tc>
          <w:tcPr>
            <w:tcW w:type="dxa" w:w="238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Datos tipados, sin duplicados, nulos tratados</w:t>
            </w:r>
          </w:p>
        </w:tc>
        <w:tc>
          <w:tcPr>
            <w:tcW w:type="dxa" w:w="17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Reproducible desde Bronze</w:t>
            </w:r>
          </w:p>
        </w:tc>
      </w:tr>
      <w:tr>
        <w:trPr>
          <w:cantSplit/>
          <w:tblHeader w:val="false"/>
        </w:trPr>
        <w:tc>
          <w:tcPr>
            <w:tcW w:type="dxa" w:w="132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Gold</w:t>
            </w:r>
          </w:p>
        </w:tc>
        <w:tc>
          <w:tcPr>
            <w:tcW w:type="dxa" w:w="194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BigQuery retail_gold</w:t>
            </w:r>
          </w:p>
        </w:tc>
        <w:tc>
          <w:tcPr>
            <w:tcW w:type="dxa" w:w="159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Tablas nativas particionadas</w:t>
            </w:r>
          </w:p>
        </w:tc>
        <w:tc>
          <w:tcPr>
            <w:tcW w:type="dxa" w:w="238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Modelo estrella: fact_sales, fact_orders, dim_article, dim_customer, dim_date, dim_channel; features</w:t>
            </w:r>
          </w:p>
        </w:tc>
        <w:tc>
          <w:tcPr>
            <w:tcW w:type="dxa" w:w="17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Optimizado para consumo</w:t>
            </w:r>
          </w:p>
        </w:tc>
      </w:tr>
      <w:tr>
        <w:trPr>
          <w:cantSplit/>
          <w:tblHeader w:val="false"/>
        </w:trPr>
        <w:tc>
          <w:tcPr>
            <w:tcW w:type="dxa" w:w="132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Operación</w:t>
            </w:r>
          </w:p>
        </w:tc>
        <w:tc>
          <w:tcPr>
            <w:tcW w:type="dxa" w:w="194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BigQuery retail_ops</w:t>
            </w:r>
          </w:p>
        </w:tc>
        <w:tc>
          <w:tcPr>
            <w:tcW w:type="dxa" w:w="159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Tablas y vistas</w:t>
            </w:r>
          </w:p>
        </w:tc>
        <w:tc>
          <w:tcPr>
            <w:tcW w:type="dxa" w:w="238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Calidad, lag de streaming, costos reales</w:t>
            </w:r>
          </w:p>
        </w:tc>
        <w:tc>
          <w:tcPr>
            <w:tcW w:type="dxa" w:w="17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Retención 13 meses</w:t>
            </w:r>
          </w:p>
        </w:tc>
      </w:tr>
      <w:tr>
        <w:trPr>
          <w:cantSplit/>
          <w:tblHeader w:val="false"/>
        </w:trPr>
        <w:tc>
          <w:tcPr>
            <w:tcW w:type="dxa" w:w="132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Transaccional</w:t>
            </w:r>
          </w:p>
        </w:tc>
        <w:tc>
          <w:tcPr>
            <w:tcW w:type="dxa" w:w="194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Cloud SQL PostgreSQL</w:t>
            </w:r>
          </w:p>
        </w:tc>
        <w:tc>
          <w:tcPr>
            <w:tcW w:type="dxa" w:w="159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Relacional</w:t>
            </w:r>
          </w:p>
        </w:tc>
        <w:tc>
          <w:tcPr>
            <w:tcW w:type="dxa" w:w="238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Usuarios demo, carrito, pedidos, wallet y ledger</w:t>
            </w:r>
          </w:p>
        </w:tc>
        <w:tc>
          <w:tcPr>
            <w:tcW w:type="dxa" w:w="17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Backups diarios + PITR</w:t>
            </w:r>
          </w:p>
        </w:tc>
      </w:tr>
    </w:tbl>
    <w:p>
      <w:pPr>
        <w:spacing w:after="200" w:before="60"/>
        <w:jc w:val="center"/>
      </w:pPr>
      <w:r>
        <w:rPr>
          <w:rFonts w:ascii="Arial" w:cs="Arial" w:eastAsia="Arial" w:hAnsi="Arial"/>
          <w:i/>
          <w:iCs/>
          <w:color w:val="595959"/>
          <w:sz w:val="18"/>
          <w:szCs w:val="18"/>
        </w:rPr>
        <w:t xml:space="preserve">Tabla 5. Motores de almacenamiento por capa.</w:t>
      </w:r>
    </w:p>
    <w:p>
      <w:pPr>
        <w:spacing w:after="120" w:line="276"/>
        <w:jc w:val="both"/>
      </w:pPr>
      <w:r>
        <w:rPr>
          <w:rFonts w:ascii="Arial" w:cs="Arial" w:eastAsia="Arial" w:hAnsi="Arial"/>
        </w:rPr>
        <w:t xml:space="preserve">No usamos una base NoSQL (Bigtable o Firestore): el acceso por clave de baja latencia que justificaría una se cubre con Cloud SQL para el estado del usuario y con BigQuery más una caché en memoria de la API para las recomendaciones precalculadas. Una NoSQL agregaría costo fijo sin un caso de uso que la requiera.</w:t>
      </w:r>
    </w:p>
    <w:p>
      <w:pPr>
        <w:pStyle w:val="Heading2"/>
      </w:pPr>
      <w:r>
        <w:rPr>
          <w:rFonts w:ascii="Arial" w:cs="Arial" w:eastAsia="Arial" w:hAnsi="Arial"/>
        </w:rPr>
        <w:t xml:space="preserve">7.3 Implementado para esta entrega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062"/>
        <w:gridCol w:w="2708"/>
        <w:gridCol w:w="2256"/>
      </w:tblGrid>
      <w:tr>
        <w:trPr>
          <w:cantSplit/>
          <w:tblHeader/>
        </w:trPr>
        <w:tc>
          <w:tcPr>
            <w:tcW w:type="dxa" w:w="406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Artefacto</w:t>
            </w:r>
          </w:p>
        </w:tc>
        <w:tc>
          <w:tcPr>
            <w:tcW w:type="dxa" w:w="270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Ruta en el repositorio</w:t>
            </w:r>
          </w:p>
        </w:tc>
        <w:tc>
          <w:tcPr>
            <w:tcW w:type="dxa" w:w="225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Estado</w:t>
            </w:r>
          </w:p>
        </w:tc>
      </w:tr>
      <w:tr>
        <w:trPr>
          <w:cantSplit/>
          <w:tblHeader w:val="false"/>
        </w:trPr>
        <w:tc>
          <w:tcPr>
            <w:tcW w:type="dxa" w:w="406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Infraestructura: buckets privados, datasets por capa, Pub/Sub + DLQ + suscripción BQ, cuentas de servicio, presupuesto</w:t>
            </w:r>
          </w:p>
        </w:tc>
        <w:tc>
          <w:tcPr>
            <w:tcW w:type="dxa" w:w="270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infra/terraform/</w:t>
            </w:r>
          </w:p>
        </w:tc>
        <w:tc>
          <w:tcPr>
            <w:tcW w:type="dxa" w:w="225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Implementado; pendiente de plan/apply en GCP</w:t>
            </w:r>
          </w:p>
        </w:tc>
      </w:tr>
      <w:tr>
        <w:trPr>
          <w:cantSplit/>
          <w:tblHeader w:val="false"/>
        </w:trPr>
        <w:tc>
          <w:tcPr>
            <w:tcW w:type="dxa" w:w="406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Ingesta batch con manifiesto</w:t>
            </w:r>
          </w:p>
        </w:tc>
        <w:tc>
          <w:tcPr>
            <w:tcW w:type="dxa" w:w="270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ingestion/batch/upload_raw.py</w:t>
            </w:r>
          </w:p>
        </w:tc>
        <w:tc>
          <w:tcPr>
            <w:tcW w:type="dxa" w:w="225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Implementado y probado localmente</w:t>
            </w:r>
          </w:p>
        </w:tc>
      </w:tr>
      <w:tr>
        <w:trPr>
          <w:cantSplit/>
          <w:tblHeader w:val="false"/>
        </w:trPr>
        <w:tc>
          <w:tcPr>
            <w:tcW w:type="dxa" w:w="406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Bronze en BigQuery</w:t>
            </w:r>
          </w:p>
        </w:tc>
        <w:tc>
          <w:tcPr>
            <w:tcW w:type="dxa" w:w="270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sql/bronze/01_bronze_hm.sql</w:t>
            </w:r>
          </w:p>
        </w:tc>
        <w:tc>
          <w:tcPr>
            <w:tcW w:type="dxa" w:w="225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Implementado; pendiente de ejecución en GCP</w:t>
            </w:r>
          </w:p>
        </w:tc>
      </w:tr>
      <w:tr>
        <w:trPr>
          <w:cantSplit/>
          <w:tblHeader w:val="false"/>
        </w:trPr>
        <w:tc>
          <w:tcPr>
            <w:tcW w:type="dxa" w:w="406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Publicador streaming 2026</w:t>
            </w:r>
          </w:p>
        </w:tc>
        <w:tc>
          <w:tcPr>
            <w:tcW w:type="dxa" w:w="270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ingestion/streaming/replay_publisher.py</w:t>
            </w:r>
          </w:p>
        </w:tc>
        <w:tc>
          <w:tcPr>
            <w:tcW w:type="dxa" w:w="225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Implementado; pruebas unitarias OK</w:t>
            </w:r>
          </w:p>
        </w:tc>
      </w:tr>
      <w:tr>
        <w:trPr>
          <w:cantSplit/>
          <w:tblHeader w:val="false"/>
        </w:trPr>
        <w:tc>
          <w:tcPr>
            <w:tcW w:type="dxa" w:w="406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Calculadora de costos automatizada</w:t>
            </w:r>
          </w:p>
        </w:tc>
        <w:tc>
          <w:tcPr>
            <w:tcW w:type="dxa" w:w="270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cost/</w:t>
            </w:r>
          </w:p>
        </w:tc>
        <w:tc>
          <w:tcPr>
            <w:tcW w:type="dxa" w:w="225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Implementado y ejecutado</w:t>
            </w:r>
          </w:p>
        </w:tc>
      </w:tr>
    </w:tbl>
    <w:p>
      <w:pPr>
        <w:pStyle w:val="Heading1"/>
      </w:pPr>
      <w:r>
        <w:rPr>
          <w:rFonts w:ascii="Arial" w:cs="Arial" w:eastAsia="Arial" w:hAnsi="Arial"/>
        </w:rPr>
        <w:t xml:space="preserve">8. Escalabilidad y performance</w:t>
      </w:r>
    </w:p>
    <w:p>
      <w:pPr>
        <w:spacing w:after="120" w:line="276"/>
        <w:jc w:val="both"/>
      </w:pPr>
      <w:r>
        <w:rPr>
          <w:rFonts w:ascii="Arial" w:cs="Arial" w:eastAsia="Arial" w:hAnsi="Arial"/>
        </w:rPr>
        <w:t xml:space="preserve">Dimensionamos con los datos reales. En operación normal H&amp;M procesa ~12,400 pedidos diarios (~43,000 líneas). Suponiendo 20 eventos de navegación por línea comprada, el tráfico medio es de ~10 eventos por segundo. Para Black Friday modelamos 5 veces el volumen mensual y una hora punta 50 veces superior a la media: ~500 eventos por segundo.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34"/>
        <w:gridCol w:w="1805"/>
        <w:gridCol w:w="3159"/>
        <w:gridCol w:w="2528"/>
      </w:tblGrid>
      <w:tr>
        <w:trPr>
          <w:cantSplit/>
          <w:tblHeader/>
        </w:trPr>
        <w:tc>
          <w:tcPr>
            <w:tcW w:type="dxa" w:w="15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Componente</w:t>
            </w:r>
          </w:p>
        </w:tc>
        <w:tc>
          <w:tcPr>
            <w:tcW w:type="dxa" w:w="18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Cómo escala</w:t>
            </w:r>
          </w:p>
        </w:tc>
        <w:tc>
          <w:tcPr>
            <w:tcW w:type="dxa" w:w="315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Comportamiento en el pico</w:t>
            </w:r>
          </w:p>
        </w:tc>
        <w:tc>
          <w:tcPr>
            <w:tcW w:type="dxa" w:w="25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Límite / control</w:t>
            </w:r>
          </w:p>
        </w:tc>
      </w:tr>
      <w:tr>
        <w:trPr>
          <w:cantSplit/>
          <w:tblHeader w:val="false"/>
        </w:trPr>
        <w:tc>
          <w:tcPr>
            <w:tcW w:type="dxa" w:w="15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Pub/Sub</w:t>
            </w:r>
          </w:p>
        </w:tc>
        <w:tc>
          <w:tcPr>
            <w:tcW w:type="dxa" w:w="18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Automático, sin aprovisionar</w:t>
            </w:r>
          </w:p>
        </w:tc>
        <w:tc>
          <w:tcPr>
            <w:tcW w:type="dxa" w:w="315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Absorbe ráfagas y retiene 7 días si el consumidor se atrasa</w:t>
            </w:r>
          </w:p>
        </w:tc>
        <w:tc>
          <w:tcPr>
            <w:tcW w:type="dxa" w:w="25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Cuota de publicación por región; alerta por backlog</w:t>
            </w:r>
          </w:p>
        </w:tc>
      </w:tr>
      <w:tr>
        <w:trPr>
          <w:cantSplit/>
          <w:tblHeader w:val="false"/>
        </w:trPr>
        <w:tc>
          <w:tcPr>
            <w:tcW w:type="dxa" w:w="15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Dataflow</w:t>
            </w:r>
          </w:p>
        </w:tc>
        <w:tc>
          <w:tcPr>
            <w:tcW w:type="dxa" w:w="18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Autoescalado horizontal de workers</w:t>
            </w:r>
          </w:p>
        </w:tc>
        <w:tc>
          <w:tcPr>
            <w:tcW w:type="dxa" w:w="315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Pasa de 1 a N workers según backlog; Streaming Engine separa estado y cómputo</w:t>
            </w:r>
          </w:p>
        </w:tc>
        <w:tc>
          <w:tcPr>
            <w:tcW w:type="dxa" w:w="25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max_num_workers acotado para el presupuesto</w:t>
            </w:r>
          </w:p>
        </w:tc>
      </w:tr>
      <w:tr>
        <w:trPr>
          <w:cantSplit/>
          <w:tblHeader w:val="false"/>
        </w:trPr>
        <w:tc>
          <w:tcPr>
            <w:tcW w:type="dxa" w:w="15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BigQuery</w:t>
            </w:r>
          </w:p>
        </w:tc>
        <w:tc>
          <w:tcPr>
            <w:tcW w:type="dxa" w:w="18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Slots bajo demanda</w:t>
            </w:r>
          </w:p>
        </w:tc>
        <w:tc>
          <w:tcPr>
            <w:tcW w:type="dxa" w:w="315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Consultas sobre particiones del día; clustering por cliente y artículo reduce bytes escaneados</w:t>
            </w:r>
          </w:p>
        </w:tc>
        <w:tc>
          <w:tcPr>
            <w:tcW w:type="dxa" w:w="25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Costo por TiB; require_partition_filter evita escaneos completos</w:t>
            </w:r>
          </w:p>
        </w:tc>
      </w:tr>
      <w:tr>
        <w:trPr>
          <w:cantSplit/>
          <w:tblHeader w:val="false"/>
        </w:trPr>
        <w:tc>
          <w:tcPr>
            <w:tcW w:type="dxa" w:w="15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Cloud Run (API/web)</w:t>
            </w:r>
          </w:p>
        </w:tc>
        <w:tc>
          <w:tcPr>
            <w:tcW w:type="dxa" w:w="18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Instancias por concurrencia</w:t>
            </w:r>
          </w:p>
        </w:tc>
        <w:tc>
          <w:tcPr>
            <w:tcW w:type="dxa" w:w="315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De 0 a decenas de instancias en segundos; 80 requests concurrentes por instancia</w:t>
            </w:r>
          </w:p>
        </w:tc>
        <w:tc>
          <w:tcPr>
            <w:tcW w:type="dxa" w:w="25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max-instances y min-instances=1 en temporada alta</w:t>
            </w:r>
          </w:p>
        </w:tc>
      </w:tr>
      <w:tr>
        <w:trPr>
          <w:cantSplit/>
          <w:tblHeader w:val="false"/>
        </w:trPr>
        <w:tc>
          <w:tcPr>
            <w:tcW w:type="dxa" w:w="15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Cloud SQL</w:t>
            </w:r>
          </w:p>
        </w:tc>
        <w:tc>
          <w:tcPr>
            <w:tcW w:type="dxa" w:w="18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Vertical + réplicas de lectura</w:t>
            </w:r>
          </w:p>
        </w:tc>
        <w:tc>
          <w:tcPr>
            <w:tcW w:type="dxa" w:w="315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Solo escrituras de carrito y pedidos; las lecturas analíticas van a BigQuery</w:t>
            </w:r>
          </w:p>
        </w:tc>
        <w:tc>
          <w:tcPr>
            <w:tcW w:type="dxa" w:w="25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Pool de conexiones; réplica para lecturas</w:t>
            </w:r>
          </w:p>
        </w:tc>
      </w:tr>
      <w:tr>
        <w:trPr>
          <w:cantSplit/>
          <w:tblHeader w:val="false"/>
        </w:trPr>
        <w:tc>
          <w:tcPr>
            <w:tcW w:type="dxa" w:w="15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Vertex AI Gemini</w:t>
            </w:r>
          </w:p>
        </w:tc>
        <w:tc>
          <w:tcPr>
            <w:tcW w:type="dxa" w:w="18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Servicio gestionado</w:t>
            </w:r>
          </w:p>
        </w:tc>
        <w:tc>
          <w:tcPr>
            <w:tcW w:type="dxa" w:w="315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Respuestas en ~1 s; caché de recomendaciones por segmento</w:t>
            </w:r>
          </w:p>
        </w:tc>
        <w:tc>
          <w:tcPr>
            <w:tcW w:type="dxa" w:w="25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Cuota por minuto; respaldo a recomendador por reglas</w:t>
            </w:r>
          </w:p>
        </w:tc>
      </w:tr>
    </w:tbl>
    <w:p>
      <w:pPr>
        <w:spacing w:after="200" w:before="60"/>
        <w:jc w:val="center"/>
      </w:pPr>
      <w:r>
        <w:rPr>
          <w:rFonts w:ascii="Arial" w:cs="Arial" w:eastAsia="Arial" w:hAnsi="Arial"/>
          <w:i/>
          <w:iCs/>
          <w:color w:val="595959"/>
          <w:sz w:val="18"/>
          <w:szCs w:val="18"/>
        </w:rPr>
        <w:t xml:space="preserve">Tabla 6. Estrategia de escalado por componente.</w:t>
      </w:r>
    </w:p>
    <w:p>
      <w:pPr>
        <w:pStyle w:val="Heading2"/>
      </w:pPr>
      <w:r>
        <w:rPr>
          <w:rFonts w:ascii="Arial" w:cs="Arial" w:eastAsia="Arial" w:hAnsi="Arial"/>
        </w:rPr>
        <w:t xml:space="preserve">8.1 Degradación controlada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Arial" w:cs="Arial" w:eastAsia="Arial" w:hAnsi="Arial"/>
        </w:rPr>
        <w:t xml:space="preserve">Si Gemini supera su cuota, el asistente responde con recomendaciones por popularidad del segmento, sin bloquear la compra.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Arial" w:cs="Arial" w:eastAsia="Arial" w:hAnsi="Arial"/>
        </w:rPr>
        <w:t xml:space="preserve">Si Dataflow se atrasa, la suscripción directa a BigQuery sigue registrando los eventos crudos; los agregados se recalculan después.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Arial" w:cs="Arial" w:eastAsia="Arial" w:hAnsi="Arial"/>
        </w:rPr>
        <w:t xml:space="preserve">Si Cloud SQL se satura, el checkout responde con reintento y clave de idempotencia; nunca cobra dos veces.</w:t>
      </w:r>
    </w:p>
    <w:p>
      <w:pPr>
        <w:pStyle w:val="Heading2"/>
      </w:pPr>
      <w:r>
        <w:rPr>
          <w:rFonts w:ascii="Arial" w:cs="Arial" w:eastAsia="Arial" w:hAnsi="Arial"/>
        </w:rPr>
        <w:t xml:space="preserve">8.2 Metas de performance</w:t>
      </w:r>
    </w:p>
    <w:p>
      <w:pPr>
        <w:spacing w:after="120" w:line="276"/>
        <w:jc w:val="both"/>
      </w:pPr>
      <w:r>
        <w:rPr>
          <w:rFonts w:ascii="Arial" w:cs="Arial" w:eastAsia="Arial" w:hAnsi="Arial"/>
        </w:rPr>
        <w:t xml:space="preserve">Latencia p95 de la API menor a 500 ms (sin asistente) y menor a 3 s con Gemini; lag de streaming p95 menor a 60 s entre publicación y disponibilidad en BigQuery; consultas Gold de tablero menores a 5 s.</w:t>
      </w:r>
    </w:p>
    <w:p>
      <w:pPr>
        <w:pStyle w:val="Heading1"/>
      </w:pPr>
      <w:r>
        <w:rPr>
          <w:rFonts w:ascii="Arial" w:cs="Arial" w:eastAsia="Arial" w:hAnsi="Arial"/>
        </w:rPr>
        <w:t xml:space="preserve">9. Justificación económica y optimización de costos</w:t>
      </w:r>
    </w:p>
    <w:p>
      <w:pPr>
        <w:pStyle w:val="Heading2"/>
      </w:pPr>
      <w:r>
        <w:rPr>
          <w:rFonts w:ascii="Arial" w:cs="Arial" w:eastAsia="Arial" w:hAnsi="Arial"/>
        </w:rPr>
        <w:t xml:space="preserve">9.1 Escenarios</w:t>
      </w:r>
    </w:p>
    <w:p>
      <w:pPr>
        <w:spacing w:after="120" w:line="276"/>
        <w:jc w:val="both"/>
      </w:pPr>
      <w:r>
        <w:rPr>
          <w:rFonts w:ascii="Arial" w:cs="Arial" w:eastAsia="Arial" w:hAnsi="Arial"/>
        </w:rPr>
        <w:t xml:space="preserve">La calculadora (cost/assumptions.yaml → cost/output/cost_estimate.xlsx) estima el costo mensual por servicio en cuatro escenarios. Los volúmenes de producción salen del perfil real de H&amp;M: 377,000 pedidos al mes. Precios de lista en us-central1, consultados el 22-oct-2026, aplicando los niveles gratuitos mensuales.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47"/>
        <w:gridCol w:w="1681"/>
        <w:gridCol w:w="1681"/>
        <w:gridCol w:w="1858"/>
        <w:gridCol w:w="1859"/>
      </w:tblGrid>
      <w:tr>
        <w:trPr>
          <w:cantSplit/>
          <w:tblHeader/>
        </w:trPr>
        <w:tc>
          <w:tcPr>
            <w:tcW w:type="dxa" w:w="194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Servicio</w:t>
            </w:r>
          </w:p>
        </w:tc>
        <w:tc>
          <w:tcPr>
            <w:tcW w:type="dxa" w:w="168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Desarrollo (curso)</w:t>
            </w:r>
          </w:p>
        </w:tc>
        <w:tc>
          <w:tcPr>
            <w:tcW w:type="dxa" w:w="168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Demo / sustentación</w:t>
            </w:r>
          </w:p>
        </w:tc>
        <w:tc>
          <w:tcPr>
            <w:tcW w:type="dxa" w:w="185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Producción (escala H&amp;M)</w:t>
            </w:r>
          </w:p>
        </w:tc>
        <w:tc>
          <w:tcPr>
            <w:tcW w:type="dxa" w:w="185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Pico Black Friday (5×)</w:t>
            </w:r>
          </w:p>
        </w:tc>
      </w:tr>
      <w:tr>
        <w:trPr>
          <w:cantSplit/>
          <w:tblHeader w:val="false"/>
        </w:trPr>
        <w:tc>
          <w:tcPr>
            <w:tcW w:type="dxa" w:w="194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Cloud Storage</w:t>
            </w:r>
          </w:p>
        </w:tc>
        <w:tc>
          <w:tcPr>
            <w:tcW w:type="dxa" w:w="168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USD 0.80</w:t>
            </w:r>
          </w:p>
        </w:tc>
        <w:tc>
          <w:tcPr>
            <w:tcW w:type="dxa" w:w="168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USD 0.54</w:t>
            </w:r>
          </w:p>
        </w:tc>
        <w:tc>
          <w:tcPr>
            <w:tcW w:type="dxa" w:w="185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USD 1.50</w:t>
            </w:r>
          </w:p>
        </w:tc>
        <w:tc>
          <w:tcPr>
            <w:tcW w:type="dxa" w:w="185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USD 1.70</w:t>
            </w:r>
          </w:p>
        </w:tc>
      </w:tr>
      <w:tr>
        <w:trPr>
          <w:cantSplit/>
          <w:tblHeader w:val="false"/>
        </w:trPr>
        <w:tc>
          <w:tcPr>
            <w:tcW w:type="dxa" w:w="194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BigQuery</w:t>
            </w:r>
          </w:p>
        </w:tc>
        <w:tc>
          <w:tcPr>
            <w:tcW w:type="dxa" w:w="168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USD 0.04</w:t>
            </w:r>
          </w:p>
        </w:tc>
        <w:tc>
          <w:tcPr>
            <w:tcW w:type="dxa" w:w="168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USD 0.10</w:t>
            </w:r>
          </w:p>
        </w:tc>
        <w:tc>
          <w:tcPr>
            <w:tcW w:type="dxa" w:w="185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USD 44.75</w:t>
            </w:r>
          </w:p>
        </w:tc>
        <w:tc>
          <w:tcPr>
            <w:tcW w:type="dxa" w:w="185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USD 120.15</w:t>
            </w:r>
          </w:p>
        </w:tc>
      </w:tr>
      <w:tr>
        <w:trPr>
          <w:cantSplit/>
          <w:tblHeader w:val="false"/>
        </w:trPr>
        <w:tc>
          <w:tcPr>
            <w:tcW w:type="dxa" w:w="194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Pub/Sub</w:t>
            </w:r>
          </w:p>
        </w:tc>
        <w:tc>
          <w:tcPr>
            <w:tcW w:type="dxa" w:w="168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USD 0.05</w:t>
            </w:r>
          </w:p>
        </w:tc>
        <w:tc>
          <w:tcPr>
            <w:tcW w:type="dxa" w:w="168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USD 0.10</w:t>
            </w:r>
          </w:p>
        </w:tc>
        <w:tc>
          <w:tcPr>
            <w:tcW w:type="dxa" w:w="185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USD 2.31</w:t>
            </w:r>
          </w:p>
        </w:tc>
        <w:tc>
          <w:tcPr>
            <w:tcW w:type="dxa" w:w="185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USD 13.11</w:t>
            </w:r>
          </w:p>
        </w:tc>
      </w:tr>
      <w:tr>
        <w:trPr>
          <w:cantSplit/>
          <w:tblHeader w:val="false"/>
        </w:trPr>
        <w:tc>
          <w:tcPr>
            <w:tcW w:type="dxa" w:w="194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Dataflow</w:t>
            </w:r>
          </w:p>
        </w:tc>
        <w:tc>
          <w:tcPr>
            <w:tcW w:type="dxa" w:w="168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USD 0.00</w:t>
            </w:r>
          </w:p>
        </w:tc>
        <w:tc>
          <w:tcPr>
            <w:tcW w:type="dxa" w:w="168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USD 3.95</w:t>
            </w:r>
          </w:p>
        </w:tc>
        <w:tc>
          <w:tcPr>
            <w:tcW w:type="dxa" w:w="185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USD 120.21</w:t>
            </w:r>
          </w:p>
        </w:tc>
        <w:tc>
          <w:tcPr>
            <w:tcW w:type="dxa" w:w="185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USD 360.64</w:t>
            </w:r>
          </w:p>
        </w:tc>
      </w:tr>
      <w:tr>
        <w:trPr>
          <w:cantSplit/>
          <w:tblHeader w:val="false"/>
        </w:trPr>
        <w:tc>
          <w:tcPr>
            <w:tcW w:type="dxa" w:w="194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Serverless Spark</w:t>
            </w:r>
          </w:p>
        </w:tc>
        <w:tc>
          <w:tcPr>
            <w:tcW w:type="dxa" w:w="168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USD 0.96</w:t>
            </w:r>
          </w:p>
        </w:tc>
        <w:tc>
          <w:tcPr>
            <w:tcW w:type="dxa" w:w="168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USD 0.48</w:t>
            </w:r>
          </w:p>
        </w:tc>
        <w:tc>
          <w:tcPr>
            <w:tcW w:type="dxa" w:w="185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USD 3.60</w:t>
            </w:r>
          </w:p>
        </w:tc>
        <w:tc>
          <w:tcPr>
            <w:tcW w:type="dxa" w:w="185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USD 7.20</w:t>
            </w:r>
          </w:p>
        </w:tc>
      </w:tr>
      <w:tr>
        <w:trPr>
          <w:cantSplit/>
          <w:tblHeader w:val="false"/>
        </w:trPr>
        <w:tc>
          <w:tcPr>
            <w:tcW w:type="dxa" w:w="194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Cloud Run</w:t>
            </w:r>
          </w:p>
        </w:tc>
        <w:tc>
          <w:tcPr>
            <w:tcW w:type="dxa" w:w="168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USD 0.00</w:t>
            </w:r>
          </w:p>
        </w:tc>
        <w:tc>
          <w:tcPr>
            <w:tcW w:type="dxa" w:w="168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USD 0.00</w:t>
            </w:r>
          </w:p>
        </w:tc>
        <w:tc>
          <w:tcPr>
            <w:tcW w:type="dxa" w:w="185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USD 34.26</w:t>
            </w:r>
          </w:p>
        </w:tc>
        <w:tc>
          <w:tcPr>
            <w:tcW w:type="dxa" w:w="185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USD 195.36</w:t>
            </w:r>
          </w:p>
        </w:tc>
      </w:tr>
      <w:tr>
        <w:trPr>
          <w:cantSplit/>
          <w:tblHeader w:val="false"/>
        </w:trPr>
        <w:tc>
          <w:tcPr>
            <w:tcW w:type="dxa" w:w="194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Cloud SQL</w:t>
            </w:r>
          </w:p>
        </w:tc>
        <w:tc>
          <w:tcPr>
            <w:tcW w:type="dxa" w:w="168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USD 4.70</w:t>
            </w:r>
          </w:p>
        </w:tc>
        <w:tc>
          <w:tcPr>
            <w:tcW w:type="dxa" w:w="168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USD 3.50</w:t>
            </w:r>
          </w:p>
        </w:tc>
        <w:tc>
          <w:tcPr>
            <w:tcW w:type="dxa" w:w="185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USD 28.95</w:t>
            </w:r>
          </w:p>
        </w:tc>
        <w:tc>
          <w:tcPr>
            <w:tcW w:type="dxa" w:w="185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USD 29.80</w:t>
            </w:r>
          </w:p>
        </w:tc>
      </w:tr>
      <w:tr>
        <w:trPr>
          <w:cantSplit/>
          <w:tblHeader w:val="false"/>
        </w:trPr>
        <w:tc>
          <w:tcPr>
            <w:tcW w:type="dxa" w:w="194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Vertex AI Gemini</w:t>
            </w:r>
          </w:p>
        </w:tc>
        <w:tc>
          <w:tcPr>
            <w:tcW w:type="dxa" w:w="168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USD 1.50</w:t>
            </w:r>
          </w:p>
        </w:tc>
        <w:tc>
          <w:tcPr>
            <w:tcW w:type="dxa" w:w="168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USD 2.75</w:t>
            </w:r>
          </w:p>
        </w:tc>
        <w:tc>
          <w:tcPr>
            <w:tcW w:type="dxa" w:w="185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USD 135.00</w:t>
            </w:r>
          </w:p>
        </w:tc>
        <w:tc>
          <w:tcPr>
            <w:tcW w:type="dxa" w:w="185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USD 675.00</w:t>
            </w:r>
          </w:p>
        </w:tc>
      </w:tr>
      <w:tr>
        <w:trPr>
          <w:cantSplit/>
          <w:tblHeader w:val="false"/>
        </w:trPr>
        <w:tc>
          <w:tcPr>
            <w:tcW w:type="dxa" w:w="194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Artifact Registry</w:t>
            </w:r>
          </w:p>
        </w:tc>
        <w:tc>
          <w:tcPr>
            <w:tcW w:type="dxa" w:w="168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USD 0.15</w:t>
            </w:r>
          </w:p>
        </w:tc>
        <w:tc>
          <w:tcPr>
            <w:tcW w:type="dxa" w:w="168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USD 0.15</w:t>
            </w:r>
          </w:p>
        </w:tc>
        <w:tc>
          <w:tcPr>
            <w:tcW w:type="dxa" w:w="185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USD 0.25</w:t>
            </w:r>
          </w:p>
        </w:tc>
        <w:tc>
          <w:tcPr>
            <w:tcW w:type="dxa" w:w="185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USD 0.25</w:t>
            </w:r>
          </w:p>
        </w:tc>
      </w:tr>
      <w:tr>
        <w:trPr>
          <w:cantSplit/>
          <w:tblHeader w:val="false"/>
        </w:trPr>
        <w:tc>
          <w:tcPr>
            <w:tcW w:type="dxa" w:w="194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Total mensual</w:t>
            </w:r>
          </w:p>
        </w:tc>
        <w:tc>
          <w:tcPr>
            <w:tcW w:type="dxa" w:w="168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USD 8.20</w:t>
            </w:r>
          </w:p>
        </w:tc>
        <w:tc>
          <w:tcPr>
            <w:tcW w:type="dxa" w:w="168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USD 11.57</w:t>
            </w:r>
          </w:p>
        </w:tc>
        <w:tc>
          <w:tcPr>
            <w:tcW w:type="dxa" w:w="185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USD 370.83</w:t>
            </w:r>
          </w:p>
        </w:tc>
        <w:tc>
          <w:tcPr>
            <w:tcW w:type="dxa" w:w="185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USD 1,403.21</w:t>
            </w:r>
          </w:p>
        </w:tc>
      </w:tr>
      <w:tr>
        <w:trPr>
          <w:cantSplit/>
          <w:tblHeader w:val="false"/>
        </w:trPr>
        <w:tc>
          <w:tcPr>
            <w:tcW w:type="dxa" w:w="194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Pedidos / mes</w:t>
            </w:r>
          </w:p>
        </w:tc>
        <w:tc>
          <w:tcPr>
            <w:tcW w:type="dxa" w:w="168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5,000</w:t>
            </w:r>
          </w:p>
        </w:tc>
        <w:tc>
          <w:tcPr>
            <w:tcW w:type="dxa" w:w="168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20,000</w:t>
            </w:r>
          </w:p>
        </w:tc>
        <w:tc>
          <w:tcPr>
            <w:tcW w:type="dxa" w:w="185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377,000</w:t>
            </w:r>
          </w:p>
        </w:tc>
        <w:tc>
          <w:tcPr>
            <w:tcW w:type="dxa" w:w="185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1,885,000</w:t>
            </w:r>
          </w:p>
        </w:tc>
      </w:tr>
      <w:tr>
        <w:trPr>
          <w:cantSplit/>
          <w:tblHeader w:val="false"/>
        </w:trPr>
        <w:tc>
          <w:tcPr>
            <w:tcW w:type="dxa" w:w="194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Costo por pedido</w:t>
            </w:r>
          </w:p>
        </w:tc>
        <w:tc>
          <w:tcPr>
            <w:tcW w:type="dxa" w:w="168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USD 0.00164</w:t>
            </w:r>
          </w:p>
        </w:tc>
        <w:tc>
          <w:tcPr>
            <w:tcW w:type="dxa" w:w="168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USD 0.00058</w:t>
            </w:r>
          </w:p>
        </w:tc>
        <w:tc>
          <w:tcPr>
            <w:tcW w:type="dxa" w:w="185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USD 0.00098</w:t>
            </w:r>
          </w:p>
        </w:tc>
        <w:tc>
          <w:tcPr>
            <w:tcW w:type="dxa" w:w="185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USD 0.00074</w:t>
            </w:r>
          </w:p>
        </w:tc>
      </w:tr>
    </w:tbl>
    <w:p>
      <w:pPr>
        <w:spacing w:after="200" w:before="60"/>
        <w:jc w:val="center"/>
      </w:pPr>
      <w:r>
        <w:rPr>
          <w:rFonts w:ascii="Arial" w:cs="Arial" w:eastAsia="Arial" w:hAnsi="Arial"/>
          <w:i/>
          <w:iCs/>
          <w:color w:val="595959"/>
          <w:sz w:val="18"/>
          <w:szCs w:val="18"/>
        </w:rPr>
        <w:t xml:space="preserve">Tabla 7. Costo mensual estimado por servicio y escenario (USD).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rPr>
          <w:cantSplit/>
        </w:trPr>
        <w:tc>
          <w:tcPr>
            <w:tcW w:type="dxa" w:w="9026"/>
            <w:tcBorders>
              <w:top w:val="none" w:color="FFFFFF" w:sz="0"/>
              <w:left w:val="single" w:color="2E75B6" w:sz="24"/>
              <w:bottom w:val="none" w:color="FFFFFF" w:sz="0"/>
              <w:right w:val="none" w:color="FFFFFF" w:sz="0"/>
            </w:tcBorders>
            <w:shd w:fill="EAF1FB" w:color="auto" w:val="clear"/>
            <w:tcMar>
              <w:top w:type="dxa" w:w="120"/>
              <w:left w:type="dxa" w:w="200"/>
              <w:bottom w:type="dxa" w:w="120"/>
              <w:right w:type="dxa" w:w="16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/>
                <w:bCs/>
                <w:color w:val="1F3864"/>
                <w:sz w:val="20"/>
                <w:szCs w:val="20"/>
              </w:rPr>
              <w:t xml:space="preserve">Costo por pedido</w:t>
            </w:r>
          </w:p>
          <w:p>
            <w:pPr>
              <w:spacing w:after="0" w:line="264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En producción la plataforma cuesta USD 0.00098 por pedido (menos de una décima de centavo). En el pico de Black Friday baja a USD 0.00074, porque los costos fijos (Cloud SQL, almacenamiento) se reparten entre más pedidos y el resto escala con el uso. El año 1 completo se estima en USD 5,482.</w:t>
            </w:r>
          </w:p>
        </w:tc>
      </w:tr>
    </w:tbl>
    <w:p>
      <w:pPr>
        <w:spacing w:after="80"/>
      </w:pPr>
    </w:p>
    <w:p>
      <w:pPr>
        <w:pStyle w:val="Heading2"/>
      </w:pPr>
      <w:r>
        <w:rPr>
          <w:rFonts w:ascii="Arial" w:cs="Arial" w:eastAsia="Arial" w:hAnsi="Arial"/>
        </w:rPr>
        <w:t xml:space="preserve">9.2 Palancas de optimización aplicadas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Arial" w:cs="Arial" w:eastAsia="Arial" w:hAnsi="Arial"/>
          <w:b/>
          <w:bCs/>
        </w:rPr>
        <w:t xml:space="preserve">Serverless y escala a cero: </w:t>
      </w:r>
      <w:r>
        <w:rPr>
          <w:rFonts w:ascii="Arial" w:cs="Arial" w:eastAsia="Arial" w:hAnsi="Arial"/>
        </w:rPr>
        <w:t xml:space="preserve">Cloud Run, Serverless Spark y BigQuery no cobran sin uso.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Arial" w:cs="Arial" w:eastAsia="Arial" w:hAnsi="Arial"/>
          <w:b/>
          <w:bCs/>
        </w:rPr>
        <w:t xml:space="preserve">Ruta streaming sin job permanente: </w:t>
      </w:r>
      <w:r>
        <w:rPr>
          <w:rFonts w:ascii="Arial" w:cs="Arial" w:eastAsia="Arial" w:hAnsi="Arial"/>
        </w:rPr>
        <w:t xml:space="preserve">la suscripción Pub/Sub → BigQuery cuesta USD 50/TiB sin cargos de ingesta; Dataflow se enciende solo cuando se necesita enriquecimiento con ventanas.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Arial" w:cs="Arial" w:eastAsia="Arial" w:hAnsi="Arial"/>
          <w:b/>
          <w:bCs/>
        </w:rPr>
        <w:t xml:space="preserve">Menos bytes escaneados: </w:t>
      </w:r>
      <w:r>
        <w:rPr>
          <w:rFonts w:ascii="Arial" w:cs="Arial" w:eastAsia="Arial" w:hAnsi="Arial"/>
        </w:rPr>
        <w:t xml:space="preserve">particionado por fecha, clustering y filtro de partición obligatorio; Parquet columnar en Silver.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Arial" w:cs="Arial" w:eastAsia="Arial" w:hAnsi="Arial"/>
          <w:b/>
          <w:bCs/>
        </w:rPr>
        <w:t xml:space="preserve">Ciclo de vida del almacenamiento: </w:t>
      </w:r>
      <w:r>
        <w:rPr>
          <w:rFonts w:ascii="Arial" w:cs="Arial" w:eastAsia="Arial" w:hAnsi="Arial"/>
        </w:rPr>
        <w:t xml:space="preserve">las 105,100 imágenes (29 GB) pasan a Nearline a los 30 días, a la mitad del precio.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Arial" w:cs="Arial" w:eastAsia="Arial" w:hAnsi="Arial"/>
          <w:b/>
          <w:bCs/>
        </w:rPr>
        <w:t xml:space="preserve">Modelo de IA más barato: </w:t>
      </w:r>
      <w:r>
        <w:rPr>
          <w:rFonts w:ascii="Arial" w:cs="Arial" w:eastAsia="Arial" w:hAnsi="Arial"/>
        </w:rPr>
        <w:t xml:space="preserve">Gemini 3.1 Flash-Lite (el modelo se cambia desde el Excel de control) y caché de respuestas frecuentes.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Arial" w:cs="Arial" w:eastAsia="Arial" w:hAnsi="Arial"/>
          <w:b/>
          <w:bCs/>
        </w:rPr>
        <w:t xml:space="preserve">Región de nivel 1: </w:t>
      </w:r>
      <w:r>
        <w:rPr>
          <w:rFonts w:ascii="Arial" w:cs="Arial" w:eastAsia="Arial" w:hAnsi="Arial"/>
        </w:rPr>
        <w:t xml:space="preserve">us-central1 tiene las tarifas más bajas para Cloud Run y Dataflow.</w:t>
      </w:r>
    </w:p>
    <w:p>
      <w:pPr>
        <w:pStyle w:val="Heading2"/>
      </w:pPr>
      <w:r>
        <w:rPr>
          <w:rFonts w:ascii="Arial" w:cs="Arial" w:eastAsia="Arial" w:hAnsi="Arial"/>
        </w:rPr>
        <w:t xml:space="preserve">9.3 Automatización de costos</w:t>
      </w:r>
    </w:p>
    <w:p>
      <w:pPr>
        <w:spacing w:after="120" w:line="276"/>
        <w:jc w:val="both"/>
      </w:pPr>
      <w:r>
        <w:rPr>
          <w:rFonts w:ascii="Arial" w:cs="Arial" w:eastAsia="Arial" w:hAnsi="Arial"/>
        </w:rPr>
        <w:t xml:space="preserve">El control de costos no depende de revisiones manuales. Implementamos tres mecanismos que se refuerzan entre sí: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5"/>
        <w:gridCol w:w="4513"/>
        <w:gridCol w:w="2708"/>
      </w:tblGrid>
      <w:tr>
        <w:trPr>
          <w:cantSplit/>
          <w:tblHeader/>
        </w:trPr>
        <w:tc>
          <w:tcPr>
            <w:tcW w:type="dxa" w:w="18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Mecanismo</w:t>
            </w:r>
          </w:p>
        </w:tc>
        <w:tc>
          <w:tcPr>
            <w:tcW w:type="dxa" w:w="451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Qué hace</w:t>
            </w:r>
          </w:p>
        </w:tc>
        <w:tc>
          <w:tcPr>
            <w:tcW w:type="dxa" w:w="270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Dónde</w:t>
            </w:r>
          </w:p>
        </w:tc>
      </w:tr>
      <w:tr>
        <w:trPr>
          <w:cantSplit/>
          <w:tblHeader w:val="false"/>
        </w:trPr>
        <w:tc>
          <w:tcPr>
            <w:tcW w:type="dxa" w:w="18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1. Estimador automatizado</w:t>
            </w:r>
          </w:p>
        </w:tc>
        <w:tc>
          <w:tcPr>
            <w:tcW w:type="dxa" w:w="451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Supuestos en un único YAML; un script genera el Excel con fórmulas y el resumen. Con --refresh-prices consulta la API Cloud Billing Catalog y actualiza las tarifas con fecha. Corre en cada push (CI).</w:t>
            </w:r>
          </w:p>
        </w:tc>
        <w:tc>
          <w:tcPr>
            <w:tcW w:type="dxa" w:w="270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cost/estimate_costs.py (--refresh-prices)</w:t>
            </w:r>
          </w:p>
        </w:tc>
      </w:tr>
      <w:tr>
        <w:trPr>
          <w:cantSplit/>
          <w:tblHeader w:val="false"/>
        </w:trPr>
        <w:tc>
          <w:tcPr>
            <w:tcW w:type="dxa" w:w="18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2. Presupuesto con alertas</w:t>
            </w:r>
          </w:p>
        </w:tc>
        <w:tc>
          <w:tcPr>
            <w:tcW w:type="dxa" w:w="451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Budget por proyecto con umbrales del 50%, 90% y 100% (real) y 100% (pronosticado); publica en un tópico Pub/Sub para notificar o apagar recursos de demo.</w:t>
            </w:r>
          </w:p>
        </w:tc>
        <w:tc>
          <w:tcPr>
            <w:tcW w:type="dxa" w:w="270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infra/terraform/main.tf (google_billing_budget)</w:t>
            </w:r>
          </w:p>
        </w:tc>
      </w:tr>
      <w:tr>
        <w:trPr>
          <w:cantSplit/>
          <w:tblHeader w:val="false"/>
        </w:trPr>
        <w:tc>
          <w:tcPr>
            <w:tcW w:type="dxa" w:w="18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3. Costo real por pedido</w:t>
            </w:r>
          </w:p>
        </w:tc>
        <w:tc>
          <w:tcPr>
            <w:tcW w:type="dxa" w:w="451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Billing export a BigQuery + vista que cruza costo diario por servicio con pedidos procesados en Gold; alimenta el tablero de costos.</w:t>
            </w:r>
          </w:p>
        </w:tc>
        <w:tc>
          <w:tcPr>
            <w:tcW w:type="dxa" w:w="270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cost/real_cost_per_order.sql</w:t>
            </w:r>
          </w:p>
        </w:tc>
      </w:tr>
    </w:tbl>
    <w:p>
      <w:pPr>
        <w:spacing w:after="200" w:before="60"/>
        <w:jc w:val="center"/>
      </w:pPr>
      <w:r>
        <w:rPr>
          <w:rFonts w:ascii="Arial" w:cs="Arial" w:eastAsia="Arial" w:hAnsi="Arial"/>
          <w:i/>
          <w:iCs/>
          <w:color w:val="595959"/>
          <w:sz w:val="18"/>
          <w:szCs w:val="18"/>
        </w:rPr>
        <w:t xml:space="preserve">Tabla 8. Mecanismos de automatización de costos.</w:t>
      </w:r>
    </w:p>
    <w:p>
      <w:pPr>
        <w:spacing w:after="120" w:line="276"/>
        <w:jc w:val="both"/>
      </w:pPr>
      <w:r>
        <w:rPr>
          <w:rFonts w:ascii="Arial" w:cs="Arial" w:eastAsia="Arial" w:hAnsi="Arial"/>
        </w:rPr>
        <w:t xml:space="preserve">El ciclo se cierra comparando lo estimado (mecanismo 1) con lo facturado (mecanismo 3) y recalibrando los supuestos; esa comparación forma parte de la Entrega 3.</w:t>
      </w:r>
    </w:p>
    <w:p>
      <w:pPr>
        <w:spacing w:after="120" w:line="276"/>
        <w:jc w:val="both"/>
      </w:pPr>
      <w:r>
        <w:rPr>
          <w:rFonts w:ascii="Arial" w:cs="Arial" w:eastAsia="Arial" w:hAnsi="Arial"/>
          <w:b/>
          <w:bCs/>
        </w:rPr>
        <w:t xml:space="preserve">Nota: </w:t>
      </w:r>
      <w:r>
        <w:rPr>
          <w:rFonts w:ascii="Arial" w:cs="Arial" w:eastAsia="Arial" w:hAnsi="Arial"/>
          <w:i/>
          <w:iCs/>
        </w:rPr>
        <w:t xml:space="preserve">son estimaciones con precios de lista, no una cotización. Deben validarse en la calculadora oficial https://cloud.google.com/products/calculator; el costo final depende del uso real.</w:t>
      </w:r>
    </w:p>
    <w:p>
      <w:pPr>
        <w:pStyle w:val="Heading1"/>
      </w:pPr>
      <w:r>
        <w:rPr>
          <w:rFonts w:ascii="Arial" w:cs="Arial" w:eastAsia="Arial" w:hAnsi="Arial"/>
        </w:rPr>
        <w:t xml:space="preserve">10. Plan de recuperación y alta disponibilidad (DRP/HA)</w:t>
      </w:r>
    </w:p>
    <w:p>
      <w:pPr>
        <w:spacing w:after="120" w:line="276"/>
        <w:jc w:val="both"/>
      </w:pPr>
      <w:r>
        <w:rPr>
          <w:rFonts w:ascii="Arial" w:cs="Arial" w:eastAsia="Arial" w:hAnsi="Arial"/>
        </w:rPr>
        <w:t xml:space="preserve">El principio central es que todo dato derivado puede reconstruirse desde Bronze, que es inmutable y versionado. Por eso la pérdida de cualquier capa de cómputo o de Silver/Gold se resuelve reprocesando, y la protección se concentra en Bronze y en el estado transaccional.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58"/>
        <w:gridCol w:w="1750"/>
        <w:gridCol w:w="3316"/>
        <w:gridCol w:w="921"/>
        <w:gridCol w:w="1381"/>
      </w:tblGrid>
      <w:tr>
        <w:trPr>
          <w:cantSplit/>
          <w:tblHeader/>
        </w:trPr>
        <w:tc>
          <w:tcPr>
            <w:tcW w:type="dxa" w:w="165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Componente</w:t>
            </w:r>
          </w:p>
        </w:tc>
        <w:tc>
          <w:tcPr>
            <w:tcW w:type="dxa" w:w="17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Falla considerada</w:t>
            </w:r>
          </w:p>
        </w:tc>
        <w:tc>
          <w:tcPr>
            <w:tcW w:type="dxa" w:w="331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Protección</w:t>
            </w:r>
          </w:p>
        </w:tc>
        <w:tc>
          <w:tcPr>
            <w:tcW w:type="dxa" w:w="9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RPO</w:t>
            </w:r>
          </w:p>
        </w:tc>
        <w:tc>
          <w:tcPr>
            <w:tcW w:type="dxa" w:w="138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RTO</w:t>
            </w:r>
          </w:p>
        </w:tc>
      </w:tr>
      <w:tr>
        <w:trPr>
          <w:cantSplit/>
          <w:tblHeader w:val="false"/>
        </w:trPr>
        <w:tc>
          <w:tcPr>
            <w:tcW w:type="dxa" w:w="165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GCS raw (Bronze)</w:t>
            </w:r>
          </w:p>
        </w:tc>
        <w:tc>
          <w:tcPr>
            <w:tcW w:type="dxa" w:w="17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Borrado o sobrescritura accidental</w:t>
            </w:r>
          </w:p>
        </w:tc>
        <w:tc>
          <w:tcPr>
            <w:tcW w:type="dxa" w:w="331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Versionado de objetos, acceso uniforme, sin acceso público; durabilidad 11 nueves</w:t>
            </w:r>
          </w:p>
        </w:tc>
        <w:tc>
          <w:tcPr>
            <w:tcW w:type="dxa" w:w="9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8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&lt; 15 min</w:t>
            </w:r>
          </w:p>
        </w:tc>
      </w:tr>
      <w:tr>
        <w:trPr>
          <w:cantSplit/>
          <w:tblHeader w:val="false"/>
        </w:trPr>
        <w:tc>
          <w:tcPr>
            <w:tcW w:type="dxa" w:w="165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BigQuery Silver/Gold</w:t>
            </w:r>
          </w:p>
        </w:tc>
        <w:tc>
          <w:tcPr>
            <w:tcW w:type="dxa" w:w="17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Tabla dañada o borrada</w:t>
            </w:r>
          </w:p>
        </w:tc>
        <w:tc>
          <w:tcPr>
            <w:tcW w:type="dxa" w:w="331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Time travel 7 días + reproceso desde Bronze</w:t>
            </w:r>
          </w:p>
        </w:tc>
        <w:tc>
          <w:tcPr>
            <w:tcW w:type="dxa" w:w="9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8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&lt; 1 h</w:t>
            </w:r>
          </w:p>
        </w:tc>
      </w:tr>
      <w:tr>
        <w:trPr>
          <w:cantSplit/>
          <w:tblHeader w:val="false"/>
        </w:trPr>
        <w:tc>
          <w:tcPr>
            <w:tcW w:type="dxa" w:w="165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Pub/Sub</w:t>
            </w:r>
          </w:p>
        </w:tc>
        <w:tc>
          <w:tcPr>
            <w:tcW w:type="dxa" w:w="17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Consumidor caído</w:t>
            </w:r>
          </w:p>
        </w:tc>
        <w:tc>
          <w:tcPr>
            <w:tcW w:type="dxa" w:w="331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Retención de mensajes no confirmados (7 días), DLQ, seek para reprocesar</w:t>
            </w:r>
          </w:p>
        </w:tc>
        <w:tc>
          <w:tcPr>
            <w:tcW w:type="dxa" w:w="9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8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&lt; 15 min</w:t>
            </w:r>
          </w:p>
        </w:tc>
      </w:tr>
      <w:tr>
        <w:trPr>
          <w:cantSplit/>
          <w:tblHeader w:val="false"/>
        </w:trPr>
        <w:tc>
          <w:tcPr>
            <w:tcW w:type="dxa" w:w="165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Dataflow</w:t>
            </w:r>
          </w:p>
        </w:tc>
        <w:tc>
          <w:tcPr>
            <w:tcW w:type="dxa" w:w="17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Falla del job o de workers</w:t>
            </w:r>
          </w:p>
        </w:tc>
        <w:tc>
          <w:tcPr>
            <w:tcW w:type="dxa" w:w="331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Reemplazo automático de workers; relanzamiento desde plantilla; la suscripción BQ sigue capturando</w:t>
            </w:r>
          </w:p>
        </w:tc>
        <w:tc>
          <w:tcPr>
            <w:tcW w:type="dxa" w:w="9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8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&lt; 30 min</w:t>
            </w:r>
          </w:p>
        </w:tc>
      </w:tr>
      <w:tr>
        <w:trPr>
          <w:cantSplit/>
          <w:tblHeader w:val="false"/>
        </w:trPr>
        <w:tc>
          <w:tcPr>
            <w:tcW w:type="dxa" w:w="165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Cloud SQL</w:t>
            </w:r>
          </w:p>
        </w:tc>
        <w:tc>
          <w:tcPr>
            <w:tcW w:type="dxa" w:w="17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Corrupción o falla de zona</w:t>
            </w:r>
          </w:p>
        </w:tc>
        <w:tc>
          <w:tcPr>
            <w:tcW w:type="dxa" w:w="331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Backup diario + recuperación a un punto en el tiempo (PITR); en producción, instancia HA regional</w:t>
            </w:r>
          </w:p>
        </w:tc>
        <w:tc>
          <w:tcPr>
            <w:tcW w:type="dxa" w:w="9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≤ 5 min</w:t>
            </w:r>
          </w:p>
        </w:tc>
        <w:tc>
          <w:tcPr>
            <w:tcW w:type="dxa" w:w="138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&lt; 1 h (prototipo) / ~1 min (HA)</w:t>
            </w:r>
          </w:p>
        </w:tc>
      </w:tr>
      <w:tr>
        <w:trPr>
          <w:cantSplit/>
          <w:tblHeader w:val="false"/>
        </w:trPr>
        <w:tc>
          <w:tcPr>
            <w:tcW w:type="dxa" w:w="165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Cloud Run</w:t>
            </w:r>
          </w:p>
        </w:tc>
        <w:tc>
          <w:tcPr>
            <w:tcW w:type="dxa" w:w="17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Falla de zona</w:t>
            </w:r>
          </w:p>
        </w:tc>
        <w:tc>
          <w:tcPr>
            <w:tcW w:type="dxa" w:w="331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Servicio regional multizona por defecto</w:t>
            </w:r>
          </w:p>
        </w:tc>
        <w:tc>
          <w:tcPr>
            <w:tcW w:type="dxa" w:w="9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N/A</w:t>
            </w:r>
          </w:p>
        </w:tc>
        <w:tc>
          <w:tcPr>
            <w:tcW w:type="dxa" w:w="138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Segundos</w:t>
            </w:r>
          </w:p>
        </w:tc>
      </w:tr>
      <w:tr>
        <w:trPr>
          <w:cantSplit/>
          <w:tblHeader w:val="false"/>
        </w:trPr>
        <w:tc>
          <w:tcPr>
            <w:tcW w:type="dxa" w:w="165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Región completa</w:t>
            </w:r>
          </w:p>
        </w:tc>
        <w:tc>
          <w:tcPr>
            <w:tcW w:type="dxa" w:w="17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Caída de us-central1</w:t>
            </w:r>
          </w:p>
        </w:tc>
        <w:tc>
          <w:tcPr>
            <w:tcW w:type="dxa" w:w="331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Terraform reproduce todo en una segunda región; Bronze en dual-region en producción</w:t>
            </w:r>
          </w:p>
        </w:tc>
        <w:tc>
          <w:tcPr>
            <w:tcW w:type="dxa" w:w="9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≤ 24 h (prototipo)</w:t>
            </w:r>
          </w:p>
        </w:tc>
        <w:tc>
          <w:tcPr>
            <w:tcW w:type="dxa" w:w="138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&lt; 4 h</w:t>
            </w:r>
          </w:p>
        </w:tc>
      </w:tr>
      <w:tr>
        <w:trPr>
          <w:cantSplit/>
          <w:tblHeader w:val="false"/>
        </w:trPr>
        <w:tc>
          <w:tcPr>
            <w:tcW w:type="dxa" w:w="165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Estado de Terraform</w:t>
            </w:r>
          </w:p>
        </w:tc>
        <w:tc>
          <w:tcPr>
            <w:tcW w:type="dxa" w:w="17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Pérdida o conflicto</w:t>
            </w:r>
          </w:p>
        </w:tc>
        <w:tc>
          <w:tcPr>
            <w:tcW w:type="dxa" w:w="331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Bucket GCS versionado con bloqueo de estado</w:t>
            </w:r>
          </w:p>
        </w:tc>
        <w:tc>
          <w:tcPr>
            <w:tcW w:type="dxa" w:w="9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38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&lt; 15 min</w:t>
            </w:r>
          </w:p>
        </w:tc>
      </w:tr>
    </w:tbl>
    <w:p>
      <w:pPr>
        <w:spacing w:after="200" w:before="60"/>
        <w:jc w:val="center"/>
      </w:pPr>
      <w:r>
        <w:rPr>
          <w:rFonts w:ascii="Arial" w:cs="Arial" w:eastAsia="Arial" w:hAnsi="Arial"/>
          <w:i/>
          <w:iCs/>
          <w:color w:val="595959"/>
          <w:sz w:val="18"/>
          <w:szCs w:val="18"/>
        </w:rPr>
        <w:t xml:space="preserve">Tabla 9. Matriz de fallas, RPO y RTO.</w:t>
      </w:r>
    </w:p>
    <w:p>
      <w:pPr>
        <w:pStyle w:val="Heading2"/>
      </w:pPr>
      <w:r>
        <w:rPr>
          <w:rFonts w:ascii="Arial" w:cs="Arial" w:eastAsia="Arial" w:hAnsi="Arial"/>
        </w:rPr>
        <w:t xml:space="preserve">10.1 Prototipo frente a producción</w:t>
      </w:r>
    </w:p>
    <w:p>
      <w:pPr>
        <w:spacing w:after="120" w:line="276"/>
        <w:jc w:val="both"/>
      </w:pPr>
      <w:r>
        <w:rPr>
          <w:rFonts w:ascii="Arial" w:cs="Arial" w:eastAsia="Arial" w:hAnsi="Arial"/>
        </w:rPr>
        <w:t xml:space="preserve">El prototipo del curso es de una sola región para mantener el costo bajo; no lo presentamos como alta disponibilidad probada. Para producción, el diseño agrega Cloud SQL en modo HA regional, Bronze en un bucket dual-region, BigQuery en la multirregión US y Cloud Run en dos regiones detrás de un balanceador global. La Entrega 3 incluirá una prueba real de restauración de Cloud SQL y de una versión de objeto en GCS, con el RTO medido.</w:t>
      </w:r>
    </w:p>
    <w:p>
      <w:pPr>
        <w:pStyle w:val="Heading1"/>
      </w:pPr>
      <w:r>
        <w:rPr>
          <w:rFonts w:ascii="Arial" w:cs="Arial" w:eastAsia="Arial" w:hAnsi="Arial"/>
        </w:rPr>
        <w:t xml:space="preserve">11. KPIs de éxito y performance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44"/>
        <w:gridCol w:w="2979"/>
        <w:gridCol w:w="2347"/>
        <w:gridCol w:w="2256"/>
      </w:tblGrid>
      <w:tr>
        <w:trPr>
          <w:cantSplit/>
          <w:tblHeader/>
        </w:trPr>
        <w:tc>
          <w:tcPr>
            <w:tcW w:type="dxa" w:w="144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Dimensión</w:t>
            </w:r>
          </w:p>
        </w:tc>
        <w:tc>
          <w:tcPr>
            <w:tcW w:type="dxa" w:w="297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KPI</w:t>
            </w:r>
          </w:p>
        </w:tc>
        <w:tc>
          <w:tcPr>
            <w:tcW w:type="dxa" w:w="234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Meta</w:t>
            </w:r>
          </w:p>
        </w:tc>
        <w:tc>
          <w:tcPr>
            <w:tcW w:type="dxa" w:w="225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Fuente</w:t>
            </w:r>
          </w:p>
        </w:tc>
      </w:tr>
      <w:tr>
        <w:trPr>
          <w:cantSplit/>
          <w:tblHeader w:val="false"/>
        </w:trPr>
        <w:tc>
          <w:tcPr>
            <w:tcW w:type="dxa" w:w="144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Datos</w:t>
            </w:r>
          </w:p>
        </w:tc>
        <w:tc>
          <w:tcPr>
            <w:tcW w:type="dxa" w:w="297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Filas cargadas vs manifiesto</w:t>
            </w:r>
          </w:p>
        </w:tc>
        <w:tc>
          <w:tcPr>
            <w:tcW w:type="dxa" w:w="234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100% conciliado</w:t>
            </w:r>
          </w:p>
        </w:tc>
        <w:tc>
          <w:tcPr>
            <w:tcW w:type="dxa" w:w="225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retail_ops + manifiesto</w:t>
            </w:r>
          </w:p>
        </w:tc>
      </w:tr>
      <w:tr>
        <w:trPr>
          <w:cantSplit/>
          <w:tblHeader w:val="false"/>
        </w:trPr>
        <w:tc>
          <w:tcPr>
            <w:tcW w:type="dxa" w:w="144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Datos</w:t>
            </w:r>
          </w:p>
        </w:tc>
        <w:tc>
          <w:tcPr>
            <w:tcW w:type="dxa" w:w="297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Filas rechazadas en Silver</w:t>
            </w:r>
          </w:p>
        </w:tc>
        <w:tc>
          <w:tcPr>
            <w:tcW w:type="dxa" w:w="234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&lt; 0.5% y todas contabilizadas</w:t>
            </w:r>
          </w:p>
        </w:tc>
        <w:tc>
          <w:tcPr>
            <w:tcW w:type="dxa" w:w="225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Reporte de calidad</w:t>
            </w:r>
          </w:p>
        </w:tc>
      </w:tr>
      <w:tr>
        <w:trPr>
          <w:cantSplit/>
          <w:tblHeader w:val="false"/>
        </w:trPr>
        <w:tc>
          <w:tcPr>
            <w:tcW w:type="dxa" w:w="144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Streaming</w:t>
            </w:r>
          </w:p>
        </w:tc>
        <w:tc>
          <w:tcPr>
            <w:tcW w:type="dxa" w:w="297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Lag p95 publicación → BigQuery</w:t>
            </w:r>
          </w:p>
        </w:tc>
        <w:tc>
          <w:tcPr>
            <w:tcW w:type="dxa" w:w="234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&lt; 60 s</w:t>
            </w:r>
          </w:p>
        </w:tc>
        <w:tc>
          <w:tcPr>
            <w:tcW w:type="dxa" w:w="225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events_raw.publish_time vs ingesta</w:t>
            </w:r>
          </w:p>
        </w:tc>
      </w:tr>
      <w:tr>
        <w:trPr>
          <w:cantSplit/>
          <w:tblHeader w:val="false"/>
        </w:trPr>
        <w:tc>
          <w:tcPr>
            <w:tcW w:type="dxa" w:w="144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Streaming</w:t>
            </w:r>
          </w:p>
        </w:tc>
        <w:tc>
          <w:tcPr>
            <w:tcW w:type="dxa" w:w="297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Mensajes en DLQ</w:t>
            </w:r>
          </w:p>
        </w:tc>
        <w:tc>
          <w:tcPr>
            <w:tcW w:type="dxa" w:w="234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&lt; 0.1%</w:t>
            </w:r>
          </w:p>
        </w:tc>
        <w:tc>
          <w:tcPr>
            <w:tcW w:type="dxa" w:w="225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Monitoreo Pub/Sub</w:t>
            </w:r>
          </w:p>
        </w:tc>
      </w:tr>
      <w:tr>
        <w:trPr>
          <w:cantSplit/>
          <w:tblHeader w:val="false"/>
        </w:trPr>
        <w:tc>
          <w:tcPr>
            <w:tcW w:type="dxa" w:w="144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Modelo</w:t>
            </w:r>
          </w:p>
        </w:tc>
        <w:tc>
          <w:tcPr>
            <w:tcW w:type="dxa" w:w="297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MAP@12 del recomendador vs baseline de popularidad</w:t>
            </w:r>
          </w:p>
        </w:tc>
        <w:tc>
          <w:tcPr>
            <w:tcW w:type="dxa" w:w="234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Mejora &gt; 10%</w:t>
            </w:r>
          </w:p>
        </w:tc>
        <w:tc>
          <w:tcPr>
            <w:tcW w:type="dxa" w:w="225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Evaluación con split temporal</w:t>
            </w:r>
          </w:p>
        </w:tc>
      </w:tr>
      <w:tr>
        <w:trPr>
          <w:cantSplit/>
          <w:tblHeader w:val="false"/>
        </w:trPr>
        <w:tc>
          <w:tcPr>
            <w:tcW w:type="dxa" w:w="144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API</w:t>
            </w:r>
          </w:p>
        </w:tc>
        <w:tc>
          <w:tcPr>
            <w:tcW w:type="dxa" w:w="297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Latencia p95 / disponibilidad</w:t>
            </w:r>
          </w:p>
        </w:tc>
        <w:tc>
          <w:tcPr>
            <w:tcW w:type="dxa" w:w="234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&lt; 500 ms / ≥ 99.5% en ventana de prueba</w:t>
            </w:r>
          </w:p>
        </w:tc>
        <w:tc>
          <w:tcPr>
            <w:tcW w:type="dxa" w:w="225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Cloud Monitoring</w:t>
            </w:r>
          </w:p>
        </w:tc>
      </w:tr>
      <w:tr>
        <w:trPr>
          <w:cantSplit/>
          <w:tblHeader w:val="false"/>
        </w:trPr>
        <w:tc>
          <w:tcPr>
            <w:tcW w:type="dxa" w:w="144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Negocio (simulado)</w:t>
            </w:r>
          </w:p>
        </w:tc>
        <w:tc>
          <w:tcPr>
            <w:tcW w:type="dxa" w:w="297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Conversión, ticket medio, pedidos</w:t>
            </w:r>
          </w:p>
        </w:tc>
        <w:tc>
          <w:tcPr>
            <w:tcW w:type="dxa" w:w="234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Visibles por día y canal</w:t>
            </w:r>
          </w:p>
        </w:tc>
        <w:tc>
          <w:tcPr>
            <w:tcW w:type="dxa" w:w="225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Gold + Looker Studio</w:t>
            </w:r>
          </w:p>
        </w:tc>
      </w:tr>
      <w:tr>
        <w:trPr>
          <w:cantSplit/>
          <w:tblHeader w:val="false"/>
        </w:trPr>
        <w:tc>
          <w:tcPr>
            <w:tcW w:type="dxa" w:w="144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Costos</w:t>
            </w:r>
          </w:p>
        </w:tc>
        <w:tc>
          <w:tcPr>
            <w:tcW w:type="dxa" w:w="297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USD por pedido</w:t>
            </w:r>
          </w:p>
        </w:tc>
        <w:tc>
          <w:tcPr>
            <w:tcW w:type="dxa" w:w="234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≤ USD 0.0012 (estimado + 20%)</w:t>
            </w:r>
          </w:p>
        </w:tc>
        <w:tc>
          <w:tcPr>
            <w:tcW w:type="dxa" w:w="225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Billing export</w:t>
            </w:r>
          </w:p>
        </w:tc>
      </w:tr>
    </w:tbl>
    <w:p>
      <w:pPr>
        <w:spacing w:after="200" w:before="60"/>
        <w:jc w:val="center"/>
      </w:pPr>
      <w:r>
        <w:rPr>
          <w:rFonts w:ascii="Arial" w:cs="Arial" w:eastAsia="Arial" w:hAnsi="Arial"/>
          <w:i/>
          <w:iCs/>
          <w:color w:val="595959"/>
          <w:sz w:val="18"/>
          <w:szCs w:val="18"/>
        </w:rPr>
        <w:t xml:space="preserve">Tabla 10. Catálogo de KPIs.</w:t>
      </w:r>
    </w:p>
    <w:p>
      <w:pPr>
        <w:pStyle w:val="Heading1"/>
      </w:pPr>
      <w:r>
        <w:rPr>
          <w:rFonts w:ascii="Arial" w:cs="Arial" w:eastAsia="Arial" w:hAnsi="Arial"/>
        </w:rPr>
        <w:t xml:space="preserve">12. Seguridad y gobierno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Arial" w:cs="Arial" w:eastAsia="Arial" w:hAnsi="Arial"/>
        </w:rPr>
        <w:t xml:space="preserve">Buckets privados con acceso uniforme y prevención de acceso público forzada; cifrado en reposo y TLS en tránsito por defecto.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Arial" w:cs="Arial" w:eastAsia="Arial" w:hAnsi="Arial"/>
        </w:rPr>
        <w:t xml:space="preserve">Tres cuentas de servicio con mínimo privilegio (ingesta, pipelines, API); GitHub Actions usa Workload Identity Federation, sin llaves JSON.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Arial" w:cs="Arial" w:eastAsia="Arial" w:hAnsi="Arial"/>
        </w:rPr>
        <w:t xml:space="preserve">Secretos en Secret Manager; .gitignore y una regla de CI impiden versionar datos, credenciales o estado de Terraform.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Arial" w:cs="Arial" w:eastAsia="Arial" w:hAnsi="Arial"/>
        </w:rPr>
        <w:t xml:space="preserve">Datos de clientes ya seudonimizados; los eventos sintéticos se identifican con is_synthetic y simulation_run_id.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Arial" w:cs="Arial" w:eastAsia="Arial" w:hAnsi="Arial"/>
        </w:rPr>
        <w:t xml:space="preserve">El asistente solo puede proponer artículos existentes y requiere confirmación explícita del usuario antes del checkout.</w:t>
      </w:r>
    </w:p>
    <w:p>
      <w:pPr>
        <w:pStyle w:val="Heading1"/>
      </w:pPr>
      <w:r>
        <w:rPr>
          <w:rFonts w:ascii="Arial" w:cs="Arial" w:eastAsia="Arial" w:hAnsi="Arial"/>
        </w:rPr>
        <w:t xml:space="preserve">13. Plan de trabajo por entregas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8"/>
        <w:gridCol w:w="1416"/>
        <w:gridCol w:w="1593"/>
        <w:gridCol w:w="5309"/>
      </w:tblGrid>
      <w:tr>
        <w:trPr>
          <w:cantSplit/>
          <w:tblHeader/>
        </w:trPr>
        <w:tc>
          <w:tcPr>
            <w:tcW w:type="dxa" w:w="70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Paso</w:t>
            </w:r>
          </w:p>
        </w:tc>
        <w:tc>
          <w:tcPr>
            <w:tcW w:type="dxa" w:w="141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Fecha</w:t>
            </w:r>
          </w:p>
        </w:tc>
        <w:tc>
          <w:tcPr>
            <w:tcW w:type="dxa" w:w="159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Entregable</w:t>
            </w:r>
          </w:p>
        </w:tc>
        <w:tc>
          <w:tcPr>
            <w:tcW w:type="dxa" w:w="530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Contenido principal</w:t>
            </w:r>
          </w:p>
        </w:tc>
      </w:tr>
      <w:tr>
        <w:trPr>
          <w:cantSplit/>
          <w:tblHeader w:val="false"/>
        </w:trPr>
        <w:tc>
          <w:tcPr>
            <w:tcW w:type="dxa" w:w="70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1</w:t>
            </w:r>
          </w:p>
        </w:tc>
        <w:tc>
          <w:tcPr>
            <w:tcW w:type="dxa" w:w="141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24-oct-2026</w:t>
            </w:r>
          </w:p>
        </w:tc>
        <w:tc>
          <w:tcPr>
            <w:tcW w:type="dxa" w:w="159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Examen + P1</w:t>
            </w:r>
          </w:p>
        </w:tc>
        <w:tc>
          <w:tcPr>
            <w:tcW w:type="dxa" w:w="530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Este documento: stack, escalabilidad, costos, DRP/HA, arquitectura, ingesta y almacenamiento; repositorio base</w:t>
            </w:r>
          </w:p>
        </w:tc>
      </w:tr>
      <w:tr>
        <w:trPr>
          <w:cantSplit/>
          <w:tblHeader w:val="false"/>
        </w:trPr>
        <w:tc>
          <w:tcPr>
            <w:tcW w:type="dxa" w:w="70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2</w:t>
            </w:r>
          </w:p>
        </w:tc>
        <w:tc>
          <w:tcPr>
            <w:tcW w:type="dxa" w:w="141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07-nov-2026</w:t>
            </w:r>
          </w:p>
        </w:tc>
        <w:tc>
          <w:tcPr>
            <w:tcW w:type="dxa" w:w="159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P2</w:t>
            </w:r>
          </w:p>
        </w:tc>
        <w:tc>
          <w:tcPr>
            <w:tcW w:type="dxa" w:w="530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Infraestructura desplegada, Bronze/Silver/Gold, replay streaming con Dataflow, modelo estrella, recomendador baseline</w:t>
            </w:r>
          </w:p>
        </w:tc>
      </w:tr>
      <w:tr>
        <w:trPr>
          <w:cantSplit/>
          <w:tblHeader w:val="false"/>
        </w:trPr>
        <w:tc>
          <w:tcPr>
            <w:tcW w:type="dxa" w:w="70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3</w:t>
            </w:r>
          </w:p>
        </w:tc>
        <w:tc>
          <w:tcPr>
            <w:tcW w:type="dxa" w:w="141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20/21-nov-2026</w:t>
            </w:r>
          </w:p>
        </w:tc>
        <w:tc>
          <w:tcPr>
            <w:tcW w:type="dxa" w:w="159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P3 + sustentación</w:t>
            </w:r>
          </w:p>
        </w:tc>
        <w:tc>
          <w:tcPr>
            <w:tcW w:type="dxa" w:w="530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API en Cloud Run, asistente Gemini, wallet en Cloud SQL, tableros, demo end-to-end, slides y costo real</w:t>
            </w:r>
          </w:p>
        </w:tc>
      </w:tr>
    </w:tbl>
    <w:p>
      <w:pPr>
        <w:spacing w:after="200" w:before="60"/>
        <w:jc w:val="center"/>
      </w:pPr>
      <w:r>
        <w:rPr>
          <w:rFonts w:ascii="Arial" w:cs="Arial" w:eastAsia="Arial" w:hAnsi="Arial"/>
          <w:i/>
          <w:iCs/>
          <w:color w:val="595959"/>
          <w:sz w:val="18"/>
          <w:szCs w:val="18"/>
        </w:rPr>
        <w:t xml:space="preserve">Tabla 11. Hitos. El detalle por tarea y responsable está en la matriz de auditoría.</w:t>
      </w:r>
    </w:p>
    <w:p>
      <w:pPr>
        <w:pStyle w:val="Heading1"/>
      </w:pPr>
      <w:r>
        <w:rPr>
          <w:rFonts w:ascii="Arial" w:cs="Arial" w:eastAsia="Arial" w:hAnsi="Arial"/>
        </w:rPr>
        <w:t xml:space="preserve">14. Riesgos y mitigaciones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59"/>
        <w:gridCol w:w="1083"/>
        <w:gridCol w:w="4784"/>
      </w:tblGrid>
      <w:tr>
        <w:trPr>
          <w:cantSplit/>
          <w:tblHeader/>
        </w:trPr>
        <w:tc>
          <w:tcPr>
            <w:tcW w:type="dxa" w:w="315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Riesgo</w:t>
            </w:r>
          </w:p>
        </w:tc>
        <w:tc>
          <w:tcPr>
            <w:tcW w:type="dxa" w:w="108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Impacto</w:t>
            </w:r>
          </w:p>
        </w:tc>
        <w:tc>
          <w:tcPr>
            <w:tcW w:type="dxa" w:w="478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Mitigación</w:t>
            </w:r>
          </w:p>
        </w:tc>
      </w:tr>
      <w:tr>
        <w:trPr>
          <w:cantSplit/>
          <w:tblHeader w:val="false"/>
        </w:trPr>
        <w:tc>
          <w:tcPr>
            <w:tcW w:type="dxa" w:w="315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Gasto inesperado en nube</w:t>
            </w:r>
          </w:p>
        </w:tc>
        <w:tc>
          <w:tcPr>
            <w:tcW w:type="dxa" w:w="108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Alto</w:t>
            </w:r>
          </w:p>
        </w:tc>
        <w:tc>
          <w:tcPr>
            <w:tcW w:type="dxa" w:w="478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Presupuesto con alertas, Dataflow solo en demo, checklist de apagado</w:t>
            </w:r>
          </w:p>
        </w:tc>
      </w:tr>
      <w:tr>
        <w:trPr>
          <w:cantSplit/>
          <w:tblHeader w:val="false"/>
        </w:trPr>
        <w:tc>
          <w:tcPr>
            <w:tcW w:type="dxa" w:w="315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Subida lenta de 33 GB desde la red local</w:t>
            </w:r>
          </w:p>
        </w:tc>
        <w:tc>
          <w:tcPr>
            <w:tcW w:type="dxa" w:w="108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Medio</w:t>
            </w:r>
          </w:p>
        </w:tc>
        <w:tc>
          <w:tcPr>
            <w:tcW w:type="dxa" w:w="478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rsync reanudable; imágenes en segundo plano; CSV primero</w:t>
            </w:r>
          </w:p>
        </w:tc>
      </w:tr>
      <w:tr>
        <w:trPr>
          <w:cantSplit/>
          <w:tblHeader w:val="false"/>
        </w:trPr>
        <w:tc>
          <w:tcPr>
            <w:tcW w:type="dxa" w:w="315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Cuotas de Gemini o Dataflow en cuenta nueva</w:t>
            </w:r>
          </w:p>
        </w:tc>
        <w:tc>
          <w:tcPr>
            <w:tcW w:type="dxa" w:w="108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Medio</w:t>
            </w:r>
          </w:p>
        </w:tc>
        <w:tc>
          <w:tcPr>
            <w:tcW w:type="dxa" w:w="478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Solicitar cuota temprano; respaldo por reglas</w:t>
            </w:r>
          </w:p>
        </w:tc>
      </w:tr>
      <w:tr>
        <w:trPr>
          <w:cantSplit/>
          <w:tblHeader w:val="false"/>
        </w:trPr>
        <w:tc>
          <w:tcPr>
            <w:tcW w:type="dxa" w:w="315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Plazo corto entre entregas</w:t>
            </w:r>
          </w:p>
        </w:tc>
        <w:tc>
          <w:tcPr>
            <w:tcW w:type="dxa" w:w="108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Alto</w:t>
            </w:r>
          </w:p>
        </w:tc>
        <w:tc>
          <w:tcPr>
            <w:tcW w:type="dxa" w:w="478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7F9FC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MVP por hito; responsables únicos por tarea; matriz de seguimiento</w:t>
            </w:r>
          </w:p>
        </w:tc>
      </w:tr>
      <w:tr>
        <w:trPr>
          <w:cantSplit/>
          <w:tblHeader w:val="false"/>
        </w:trPr>
        <w:tc>
          <w:tcPr>
            <w:tcW w:type="dxa" w:w="315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Confundir datos simulados con reales</w:t>
            </w:r>
          </w:p>
        </w:tc>
        <w:tc>
          <w:tcPr>
            <w:tcW w:type="dxa" w:w="108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Medio</w:t>
            </w:r>
          </w:p>
        </w:tc>
        <w:tc>
          <w:tcPr>
            <w:tcW w:type="dxa" w:w="478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52"/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Doble reloj (source_t_dat / event_time) e is_synthetic en todo evento</w:t>
            </w:r>
          </w:p>
        </w:tc>
      </w:tr>
    </w:tbl>
    <w:p>
      <w:pPr>
        <w:pStyle w:val="Heading1"/>
      </w:pPr>
      <w:r>
        <w:rPr>
          <w:rFonts w:ascii="Arial" w:cs="Arial" w:eastAsia="Arial" w:hAnsi="Arial"/>
        </w:rPr>
        <w:t xml:space="preserve">Anexo A. Repositorio y reproducibilidad</w:t>
      </w:r>
    </w:p>
    <w:p>
      <w:pPr>
        <w:spacing w:after="120" w:line="276"/>
        <w:jc w:val="both"/>
      </w:pPr>
      <w:r>
        <w:rPr>
          <w:rFonts w:ascii="Arial" w:cs="Arial" w:eastAsia="Arial" w:hAnsi="Arial"/>
        </w:rPr>
        <w:t xml:space="preserve">El repositorio se publica en GitHub sin datos ni secretos. Estructura:</w:t>
      </w:r>
    </w:p>
    <w:p>
      <w:pPr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config/                 Excel de control: parámetros, tablas, columnas, usuarios y permisos</w:t>
      </w:r>
    </w:p>
    <w:p>
      <w:pPr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ops.py                  Orquestador de despliegue (Windows, Linux, Cloud Shell)</w:t>
      </w:r>
    </w:p>
    <w:p>
      <w:pPr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infra/terraform/        Infraestructura GCP (estado remoto en GCS)</w:t>
      </w:r>
    </w:p>
    <w:p>
      <w:pPr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ingestion/batch/        Carga de H&amp;M a Bronze con manifiesto</w:t>
      </w:r>
    </w:p>
    <w:p>
      <w:pPr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ingestion/streaming/    Publicador replay de eventos 2026</w:t>
      </w:r>
    </w:p>
    <w:p>
      <w:pPr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pipelines/              Spark (Silver), Dataflow (streaming), recomendador</w:t>
      </w:r>
    </w:p>
    <w:p>
      <w:pPr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sql/                    Bronze, Silver, Gold y vistas BI en BigQuery</w:t>
      </w:r>
    </w:p>
    <w:p>
      <w:pPr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api/                    FastAPI, web, asistente Gemini y wallet</w:t>
      </w:r>
    </w:p>
    <w:p>
      <w:pPr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cost/                   Calculadora y automatización de costos</w:t>
      </w:r>
    </w:p>
    <w:p>
      <w:pPr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docs/architecture/      Diagramas regenerables (Graphviz)</w:t>
      </w:r>
    </w:p>
    <w:p>
      <w:pPr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docs/entrega1/          Este documento</w:t>
      </w:r>
    </w:p>
    <w:p>
      <w:pPr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docs/gestion/           Matriz de auditoría y roles</w:t>
      </w:r>
    </w:p>
    <w:p>
      <w:pPr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tests/                  Pruebas unitarias</w:t>
      </w:r>
    </w:p>
    <w:p>
      <w:pPr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.github/workflows/      CI: pruebas, costos, terraform validate</w:t>
      </w:r>
    </w:p>
    <w:p>
      <w:pPr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data/                   Solo local; excluido de Git</w:t>
      </w:r>
    </w:p>
    <w:p>
      <w:pPr>
        <w:spacing w:after="80"/>
      </w:pPr>
    </w:p>
    <w:p>
      <w:pPr>
        <w:spacing w:after="120" w:line="276"/>
        <w:jc w:val="both"/>
      </w:pPr>
      <w:r>
        <w:rPr>
          <w:rFonts w:ascii="Arial" w:cs="Arial" w:eastAsia="Arial" w:hAnsi="Arial"/>
        </w:rPr>
        <w:t xml:space="preserve">Todos los nombres, parámetros, tablas, columnas, usuarios iniciales y permisos se controlan desde config/control_plataforma.xlsx; python ops.py config los convierte en variables de Terraform y semillas de la API, y python ops.py verificar compara lo desplegado contra el Excel.</w:t>
      </w:r>
    </w:p>
    <w:p>
      <w:pPr>
        <w:spacing w:after="120" w:line="276"/>
        <w:jc w:val="both"/>
      </w:pPr>
      <w:r>
        <w:rPr>
          <w:rFonts w:ascii="Arial" w:cs="Arial" w:eastAsia="Arial" w:hAnsi="Arial"/>
        </w:rPr>
        <w:t xml:space="preserve">Comandos principales: python ops.py config · bootstrap · plan · apply · subir-datos · bronze · silver · gold · api · verificar · todo. Guía completa en docs/DEPLOY.md.</w:t>
      </w:r>
    </w:p>
    <w:p>
      <w:pPr>
        <w:pStyle w:val="Heading1"/>
      </w:pPr>
      <w:r>
        <w:rPr>
          <w:rFonts w:ascii="Arial" w:cs="Arial" w:eastAsia="Arial" w:hAnsi="Arial"/>
        </w:rPr>
        <w:t xml:space="preserve">Referencias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Arial" w:cs="Arial" w:eastAsia="Arial" w:hAnsi="Arial"/>
          <w:sz w:val="19"/>
          <w:szCs w:val="19"/>
        </w:rPr>
        <w:t xml:space="preserve">UTEC. Entregables del Proyecto Final: Taller de Arquitectura Big Data. Sección 1, 2026.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Arial" w:cs="Arial" w:eastAsia="Arial" w:hAnsi="Arial"/>
          <w:sz w:val="19"/>
          <w:szCs w:val="19"/>
        </w:rPr>
        <w:t xml:space="preserve">Kaggle. H&amp;M Personalized Fashion Recommendations. https://www.kaggle.com/competitions/h-and-m-personalized-fashion-recommendations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Arial" w:cs="Arial" w:eastAsia="Arial" w:hAnsi="Arial"/>
          <w:sz w:val="19"/>
          <w:szCs w:val="19"/>
        </w:rPr>
        <w:t xml:space="preserve">Google Cloud. Cloud Storage pricing. https://cloud.google.com/storage/pricing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Arial" w:cs="Arial" w:eastAsia="Arial" w:hAnsi="Arial"/>
          <w:sz w:val="19"/>
          <w:szCs w:val="19"/>
        </w:rPr>
        <w:t xml:space="preserve">Google Cloud. BigQuery pricing. https://cloud.google.com/bigquery/pricing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Arial" w:cs="Arial" w:eastAsia="Arial" w:hAnsi="Arial"/>
          <w:sz w:val="19"/>
          <w:szCs w:val="19"/>
        </w:rPr>
        <w:t xml:space="preserve">Google Cloud. Pub/Sub pricing. https://cloud.google.com/pubsub/pricing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Arial" w:cs="Arial" w:eastAsia="Arial" w:hAnsi="Arial"/>
          <w:sz w:val="19"/>
          <w:szCs w:val="19"/>
        </w:rPr>
        <w:t xml:space="preserve">Google Cloud. Dataflow pricing. https://cloud.google.com/dataflow/pricing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Arial" w:cs="Arial" w:eastAsia="Arial" w:hAnsi="Arial"/>
          <w:sz w:val="19"/>
          <w:szCs w:val="19"/>
        </w:rPr>
        <w:t xml:space="preserve">Google Cloud. Serverless for Apache Spark pricing. https://cloud.google.com/dataproc-serverless/pricing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Arial" w:cs="Arial" w:eastAsia="Arial" w:hAnsi="Arial"/>
          <w:sz w:val="19"/>
          <w:szCs w:val="19"/>
        </w:rPr>
        <w:t xml:space="preserve">Google Cloud. Cloud Run pricing. https://cloud.google.com/run/pricing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Arial" w:cs="Arial" w:eastAsia="Arial" w:hAnsi="Arial"/>
          <w:sz w:val="19"/>
          <w:szCs w:val="19"/>
        </w:rPr>
        <w:t xml:space="preserve">Google Cloud. Cloud SQL pricing. https://cloud.google.com/sql/pricing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Arial" w:cs="Arial" w:eastAsia="Arial" w:hAnsi="Arial"/>
          <w:sz w:val="19"/>
          <w:szCs w:val="19"/>
        </w:rPr>
        <w:t xml:space="preserve">Google Cloud. Vertex AI generative AI pricing. https://cloud.google.com/vertex-ai/generative-ai/pricing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Arial" w:cs="Arial" w:eastAsia="Arial" w:hAnsi="Arial"/>
          <w:sz w:val="19"/>
          <w:szCs w:val="19"/>
        </w:rPr>
        <w:t xml:space="preserve">Google Cloud. Pricing Calculator. https://cloud.google.com/products/calculator</w:t>
      </w:r>
    </w:p>
    <w:sectPr>
      <w:headerReference w:type="default" r:id="rId7"/>
      <w:footerReference w:type="default" r:id="rId8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Arial" w:cs="Arial" w:eastAsia="Arial" w:hAnsi="Arial"/>
        <w:color w:val="595959"/>
        <w:sz w:val="16"/>
        <w:szCs w:val="16"/>
      </w:rPr>
      <w:t xml:space="preserve">Página </w:t>
    </w:r>
    <w:r>
      <w:rPr>
        <w:rFonts w:ascii="Arial" w:cs="Arial" w:eastAsia="Arial" w:hAnsi="Arial"/>
        <w:color w:val="595959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BFBFBF" w:sz="4" w:space="2"/>
      </w:pBdr>
      <w:tabs>
        <w:tab w:val="right" w:pos="9026"/>
      </w:tabs>
    </w:pPr>
    <w:r>
      <w:rPr>
        <w:rFonts w:ascii="Arial" w:cs="Arial" w:eastAsia="Arial" w:hAnsi="Arial"/>
        <w:color w:val="595959"/>
        <w:sz w:val="16"/>
        <w:szCs w:val="16"/>
      </w:rPr>
      <w:t xml:space="preserve">Retail Intelligence &amp; Personal Shopping Assistant</w:t>
    </w:r>
    <w:r>
      <w:rPr>
        <w:rFonts w:ascii="Arial" w:cs="Arial" w:eastAsia="Arial" w:hAnsi="Arial"/>
        <w:color w:val="595959"/>
        <w:sz w:val="16"/>
        <w:szCs w:val="16"/>
      </w:rPr>
      <w:t xml:space="preserve">	Entrega 1 · Examen + P1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[%1]"/>
      <w:lvlJc w:val="left"/>
      <w:pPr>
        <w:ind w:left="540" w:hanging="54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updateFields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pBdr>
        <w:bottom w:val="single" w:color="2E75B6" w:sz="6" w:space="4"/>
      </w:pBdr>
      <w:spacing w:after="160" w:before="360"/>
      <w:outlineLvl w:val="0"/>
    </w:pPr>
    <w:rPr>
      <w:rFonts w:ascii="Arial" w:cs="Arial" w:eastAsia="Arial" w:hAnsi="Arial"/>
      <w:b/>
      <w:bCs/>
      <w:color w:val="1F3864"/>
      <w:sz w:val="30"/>
      <w:szCs w:val="30"/>
    </w:rPr>
  </w:style>
  <w:style w:type="paragraph" w:styleId="Heading2">
    <w:name w:val="Heading 2"/>
    <w:basedOn w:val="Normal"/>
    <w:next w:val="Normal"/>
    <w:qFormat/>
    <w:pPr>
      <w:spacing w:after="100" w:before="240"/>
      <w:outlineLvl w:val="1"/>
    </w:pPr>
    <w:rPr>
      <w:rFonts w:ascii="Arial" w:cs="Arial" w:eastAsia="Arial" w:hAnsi="Arial"/>
      <w:b/>
      <w:bCs/>
      <w:color w:val="2E75B6"/>
      <w:sz w:val="24"/>
      <w:szCs w:val="24"/>
    </w:rPr>
  </w:style>
  <w:style w:type="paragraph" w:styleId="Heading3">
    <w:name w:val="Heading 3"/>
    <w:basedOn w:val="Normal"/>
    <w:next w:val="Normal"/>
    <w:qFormat/>
    <w:pPr>
      <w:spacing w:after="80" w:before="180"/>
      <w:outlineLvl w:val="2"/>
    </w:pPr>
    <w:rPr>
      <w:rFonts w:ascii="Arial" w:cs="Arial" w:eastAsia="Arial" w:hAnsi="Arial"/>
      <w:b/>
      <w:bCs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b027ac015635f21ae5aebe4bc7592c71114f52ba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Entrega 1 - Arquitectura Big Data Retail</dc:title>
  <dc:creator>Equipo Retail Big Data</dc:creator>
  <cp:lastModifiedBy>Un-named</cp:lastModifiedBy>
  <cp:revision>1</cp:revision>
  <dcterms:created xsi:type="dcterms:W3CDTF">2026-10-23T05:27:20.791Z</dcterms:created>
  <dcterms:modified xsi:type="dcterms:W3CDTF">2026-10-23T05:27:20.791Z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