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 xml:space="preserve">Individual Contribution Report</w:t>
      </w:r>
    </w:p>
    <w:tbl>
      <w:tblPr>
        <w:tblStyle w:val="TableGrid"/>
        <w:tblW w:w="9893" w:type="dxa"/>
        <w:tblLayout w:type="fixed"/>
        <w:tblCellMar>
          <w:top w:w="40" w:type="dxa"/>
          <w:left w:w="80" w:type="dxa"/>
          <w:bottom w:w="40" w:type="dxa"/>
          <w:right w:w="80" w:type="dxa"/>
        </w:tblCellMar>
      </w:tblPr>
      <w:tblGrid>
        <w:gridCol w:w="1700"/>
        <w:gridCol w:w="2900"/>
        <w:gridCol w:w="1500"/>
        <w:gridCol w:w="3793"/>
      </w:tblGrid>
      <w:tr>
        <w:trPr>
          <w:cantSplit/>
        </w:trPr>
        <w:tc>
          <w:tcPr>
            <w:tcW w:w="1700" w:type="dxa"/>
          </w:tcPr>
          <w:p>
            <w:pPr>
              <w:spacing w:before="0" w:after="0"/>
            </w:pPr>
            <w:r>
              <w:rPr>
                <w:sz w:val="20"/>
              </w:rPr>
              <w:t xml:space="preserve">Name</w:t>
            </w:r>
          </w:p>
        </w:tc>
        <w:tc>
          <w:tcPr>
            <w:tcW w:w="2900" w:type="dxa"/>
          </w:tcPr>
          <w:p>
            <w:pPr>
              <w:spacing w:before="0" w:after="0"/>
            </w:pPr>
            <w:r>
              <w:rPr>
                <w:sz w:val="19"/>
              </w:rPr>
              <w:t>Adam LARKEM</w:t>
            </w:r>
          </w:p>
        </w:tc>
        <w:tc>
          <w:tcPr>
            <w:tcW w:w="1500" w:type="dxa"/>
          </w:tcPr>
          <w:p>
            <w:pPr>
              <w:spacing w:before="0" w:after="0"/>
            </w:pPr>
            <w:r>
              <w:rPr>
                <w:sz w:val="20"/>
              </w:rPr>
              <w:t xml:space="preserve">Student ID</w:t>
            </w:r>
          </w:p>
        </w:tc>
        <w:tc>
          <w:tcPr>
            <w:tcW w:w="3793" w:type="dxa"/>
          </w:tcPr>
          <w:p>
            <w:pPr>
              <w:spacing w:before="0" w:after="0"/>
            </w:pPr>
            <w:r>
              <w:rPr>
                <w:sz w:val="19"/>
              </w:rPr>
              <w:t>12264692</w:t>
            </w:r>
          </w:p>
        </w:tc>
      </w:tr>
      <w:tr>
        <w:trPr>
          <w:cantSplit/>
        </w:trPr>
        <w:tc>
          <w:tcPr>
            <w:tcW w:w="1700" w:type="dxa"/>
          </w:tcPr>
          <w:p>
            <w:pPr>
              <w:spacing w:before="0" w:after="0"/>
            </w:pPr>
            <w:r>
              <w:rPr>
                <w:sz w:val="20"/>
              </w:rPr>
              <w:t xml:space="preserve">Team ID</w:t>
            </w:r>
          </w:p>
        </w:tc>
        <w:tc>
          <w:tcPr>
            <w:tcW w:w="2900" w:type="dxa"/>
          </w:tcPr>
          <w:p>
            <w:pPr>
              <w:spacing w:before="0" w:after="0"/>
            </w:pPr>
            <w:r>
              <w:rPr>
                <w:sz w:val="20"/>
              </w:rPr>
              <w:t xml:space="preserve">15</w:t>
            </w:r>
          </w:p>
        </w:tc>
        <w:tc>
          <w:tcPr>
            <w:tcW w:w="1500" w:type="dxa"/>
          </w:tcPr>
          <w:p>
            <w:pPr>
              <w:spacing w:before="0" w:after="0"/>
            </w:pPr>
            <w:r>
              <w:rPr>
                <w:sz w:val="20"/>
              </w:rPr>
              <w:t xml:space="preserve">Product</w:t>
            </w:r>
          </w:p>
        </w:tc>
        <w:tc>
          <w:tcPr>
            <w:tcW w:w="3793" w:type="dxa"/>
          </w:tcPr>
          <w:p>
            <w:pPr>
              <w:spacing w:before="0" w:after="0"/>
            </w:pPr>
            <w:r>
              <w:rPr>
                <w:sz w:val="20"/>
              </w:rPr>
              <w:t xml:space="preserve">SeatTogether</w:t>
            </w:r>
          </w:p>
        </w:tc>
      </w:tr>
      <w:tr>
        <w:trPr>
          <w:cantSplit/>
        </w:trPr>
        <w:tc>
          <w:tcPr>
            <w:tcW w:w="1700" w:type="dxa"/>
          </w:tcPr>
          <w:p>
            <w:pPr>
              <w:spacing w:before="0" w:after="0"/>
            </w:pPr>
            <w:r>
              <w:rPr>
                <w:sz w:val="20"/>
              </w:rPr>
              <w:t xml:space="preserve">Submission date</w:t>
            </w:r>
          </w:p>
        </w:tc>
        <w:tc>
          <w:tcPr>
            <w:tcW w:w="2900" w:type="dxa"/>
          </w:tcPr>
          <w:p>
            <w:pPr>
              <w:spacing w:before="0" w:after="0"/>
            </w:pPr>
            <w:r>
              <w:rPr>
                <w:sz w:val="20"/>
              </w:rPr>
              <w:t xml:space="preserve">2026-10-25</w:t>
            </w:r>
          </w:p>
        </w:tc>
        <w:tc>
          <w:tcPr>
            <w:tcW w:w="1500" w:type="dxa"/>
          </w:tcPr>
          <w:p>
            <w:pPr>
              <w:spacing w:before="0" w:after="0"/>
            </w:pPr>
            <w:r>
              <w:rPr>
                <w:sz w:val="20"/>
              </w:rPr>
              <w:t xml:space="preserve">Repository</w:t>
            </w:r>
          </w:p>
        </w:tc>
        <w:tc>
          <w:tcPr>
            <w:tcW w:w="3793" w:type="dxa"/>
          </w:tcPr>
          <w:p>
            <w:pPr>
              <w:spacing w:before="0" w:after="0"/>
            </w:pPr>
            <w:hyperlink r:id="rId101">
              <w:r>
                <w:rPr>
                  <w:u w:val="single"/>
                  <w:color w:val="1155CC"/>
                  <w:sz w:val="20"/>
                </w:rPr>
                <w:t xml:space="preserve">estvv/software-engineering-project</w:t>
              </w:r>
            </w:hyperlink>
          </w:p>
        </w:tc>
      </w:tr>
    </w:tbl>
    <w:p>
      <w:pPr>
        <w:spacing w:after="60"/>
      </w:pPr>
    </w:p>
    <w:p>
      <w:pPr>
        <w:pStyle w:val="Heading1"/>
      </w:pPr>
      <w:r>
        <w:t xml:space="preserve">1 My work and evidence</w:t>
      </w:r>
    </w:p>
    <w:p>
      <w:r>
        <w:t>I was responsible for reviewing the plan, the API contract and the backend, for the front-end (C1 Map UI and the S2 buttons), and for report sections 5 (front-end part), 6 and 7. Each item went through a pull request.</w:t>
      </w:r>
    </w:p>
    <w:p>
      <w:pPr>
        <w:pStyle w:val="ListBullet"/>
      </w:pPr>
      <w:r>
        <w:rPr>
          <w:b/>
        </w:rPr>
        <w:t>Reviews</w:t>
      </w:r>
      <w:r>
        <w:t xml:space="preserve"> (PR #5 to #8): approved the stack and rules R1 and R2, checked that I could build C1 from the API contract alone, re-ran the tests and the build on a fresh clone and reported a README gap (</w:t>
      </w:r>
      <w:r>
        <w:rPr>
          <w:rFonts w:ascii="Consolas" w:hAnsi="Consolas"/>
          <w:sz w:val="19"/>
        </w:rPr>
        <w:t>tsc</w:t>
      </w:r>
      <w:r>
        <w:t xml:space="preserve"> fails before the first build). Review of the team report draft (PR #25).</w:t>
      </w:r>
    </w:p>
    <w:p>
      <w:pPr>
        <w:pStyle w:val="ListBullet"/>
      </w:pPr>
      <w:r>
        <w:rPr>
          <w:b/>
        </w:rPr>
        <w:t>C1 Map UI and S2 buttons</w:t>
      </w:r>
      <w:r>
        <w:t xml:space="preserve"> (</w:t>
      </w:r>
      <w:r>
        <w:rPr>
          <w:rFonts w:ascii="Consolas" w:hAnsi="Consolas"/>
          <w:sz w:val="19"/>
        </w:rPr>
        <w:t>app/page.tsx</w:t>
      </w:r>
      <w:r>
        <w:t xml:space="preserve">, PR #26): the map from </w:t>
      </w:r>
      <w:r>
        <w:rPr>
          <w:rFonts w:ascii="Consolas" w:hAnsi="Consolas"/>
          <w:sz w:val="19"/>
        </w:rPr>
        <w:t>GET /api/tables</w:t>
      </w:r>
      <w:r>
        <w:t xml:space="preserve"> with a colour and a text label per table, the "No free table reported right now" message, and the "I'm sitting here" / "I'm leaving" buttons that keep the check-in token in the browser.</w:t>
      </w:r>
    </w:p>
    <w:p>
      <w:pPr>
        <w:pStyle w:val="ListBullet"/>
      </w:pPr>
      <w:r>
        <w:rPr>
          <w:b/>
        </w:rPr>
        <w:t>UI evidence</w:t>
      </w:r>
      <w:r>
        <w:t xml:space="preserve"> (</w:t>
      </w:r>
      <w:r>
        <w:rPr>
          <w:rFonts w:ascii="Consolas" w:hAnsi="Consolas"/>
          <w:sz w:val="19"/>
        </w:rPr>
        <w:t>docs/evidence/2026-10-17_c1_ui_check.md</w:t>
      </w:r>
      <w:r>
        <w:t>): five screenshots for S1-AC1, S1-AC2, S2-AC1, S2-AC2, R1 and the wrong-token case, and the D1 check.</w:t>
      </w:r>
    </w:p>
    <w:p>
      <w:pPr>
        <w:pStyle w:val="ListBullet"/>
      </w:pPr>
      <w:r>
        <w:rPr>
          <w:b/>
        </w:rPr>
        <w:t>Team report</w:t>
      </w:r>
      <w:r>
        <w:t xml:space="preserve"> sections 5 (front-end), 6 Security and privacy, 7 Plan for the final demo, appendix A3.</w:t>
      </w:r>
    </w:p>
    <w:p>
      <w:pPr>
        <w:pStyle w:val="Heading1"/>
      </w:pPr>
      <w:r>
        <w:t xml:space="preserve">2 One decision I can explain</w:t>
      </w:r>
    </w:p>
    <w:p>
      <w:r>
        <w:rPr>
          <w:b/>
        </w:rPr>
        <w:t>Choice.</w:t>
      </w:r>
      <w:r>
        <w:t xml:space="preserve"> The map UI never decides an outcome itself. It shows the </w:t>
      </w:r>
      <w:r>
        <w:rPr>
          <w:rFonts w:ascii="Consolas" w:hAnsi="Consolas"/>
          <w:sz w:val="19"/>
        </w:rPr>
        <w:t>error.message</w:t>
      </w:r>
      <w:r>
        <w:t xml:space="preserve"> that the API returns for 403 and 409 unchanged, and "I'm leaving" always calls check-out, even when the browser has no token for that table.</w:t>
      </w:r>
    </w:p>
    <w:p>
      <w:r>
        <w:rPr>
          <w:b/>
        </w:rPr>
        <w:t>Alternatives.</w:t>
      </w:r>
      <w:r>
        <w:t xml:space="preserve"> (a) The UI maps each error code to its own text. (b) The UI hides "I'm leaving" or greys out occupied tables when it holds no token, so it decides who may free a table.</w:t>
      </w:r>
    </w:p>
    <w:p>
      <w:r>
        <w:rPr>
          <w:b/>
        </w:rPr>
        <w:t>Why.</w:t>
      </w:r>
      <w:r>
        <w:t xml:space="preserve"> Both alternatives copy rules that our decision D1 keeps in C2 (</w:t>
      </w:r>
      <w:r>
        <w:rPr>
          <w:rFonts w:ascii="Consolas" w:hAnsi="Consolas"/>
          <w:sz w:val="19"/>
        </w:rPr>
        <w:t>lib/seatStatus.ts</w:t>
      </w:r>
      <w:r>
        <w:t>). With (b), the UI would need to know about R1, R2 and the token check, and would be wrong as soon as one rule changes. Keeping C1 a pure display means a rule changes in one place (maintainability, Week 5). Cost: one request that the UI could have guessed would fail, and messages that are the same on every screen.</w:t>
      </w:r>
    </w:p>
    <w:p>
      <w:r>
        <w:rPr>
          <w:b/>
        </w:rPr>
        <w:t>Link to the product.</w:t>
      </w:r>
      <w:r>
        <w:t xml:space="preserve"> S2 stays consistent with S1: the map and the buttons always show what C2 decided, so a student never sees a table as free that the server considers occupied.</w:t>
      </w:r>
    </w:p>
    <w:p>
      <w:pPr>
        <w:pStyle w:val="Heading1"/>
      </w:pPr>
      <w:r>
        <w:t xml:space="preserve">3 How I checked the result</w:t>
      </w:r>
    </w:p>
    <w:tbl>
      <w:tblPr>
        <w:tblStyle w:val="TableGrid"/>
        <w:tblW w:w="9893" w:type="dxa"/>
        <w:tblLayout w:type="fixed"/>
        <w:tblCellMar>
          <w:top w:w="40" w:type="dxa"/>
          <w:left w:w="80" w:type="dxa"/>
          <w:bottom w:w="40" w:type="dxa"/>
          <w:right w:w="80" w:type="dxa"/>
        </w:tblCellMar>
      </w:tblPr>
      <w:tblGrid>
        <w:gridCol w:w="4400"/>
        <w:gridCol w:w="2600"/>
        <w:gridCol w:w="2893"/>
      </w:tblGrid>
      <w:tr>
        <w:trPr>
          <w:tblHeader/>
          <w:cantSplit/>
        </w:trPr>
        <w:tc>
          <w:tcPr>
            <w:tcW w:w="4400" w:type="dxa"/>
            <w:shd w:val="clear" w:color="auto" w:fill="D9E2F3"/>
          </w:tcPr>
          <w:p>
            <w:pPr>
              <w:spacing w:before="0" w:after="0"/>
            </w:pPr>
            <w:r>
              <w:rPr>
                <w:b/>
                <w:sz w:val="19"/>
              </w:rPr>
              <w:t>Check (2026-10-17, branch feat/c1-map-ui)</w:t>
            </w:r>
          </w:p>
        </w:tc>
        <w:tc>
          <w:tcPr>
            <w:tcW w:w="2600" w:type="dxa"/>
            <w:shd w:val="clear" w:color="auto" w:fill="D9E2F3"/>
          </w:tcPr>
          <w:p>
            <w:pPr>
              <w:spacing w:before="0" w:after="0"/>
            </w:pPr>
            <w:r>
              <w:rPr>
                <w:b/>
                <w:sz w:val="19"/>
              </w:rPr>
              <w:t>Expected</w:t>
            </w:r>
          </w:p>
        </w:tc>
        <w:tc>
          <w:tcPr>
            <w:tcW w:w="2893" w:type="dxa"/>
            <w:shd w:val="clear" w:color="auto" w:fill="D9E2F3"/>
          </w:tcPr>
          <w:p>
            <w:pPr>
              <w:spacing w:before="0" w:after="0"/>
            </w:pPr>
            <w:r>
              <w:rPr>
                <w:b/>
                <w:sz w:val="19"/>
              </w:rPr>
              <w:t>Actual</w:t>
            </w:r>
          </w:p>
        </w:tc>
      </w:tr>
      <w:tr>
        <w:trPr>
          <w:cantSplit/>
        </w:trPr>
        <w:tc>
          <w:tcPr>
            <w:tcW w:w="4400" w:type="dxa"/>
          </w:tcPr>
          <w:p>
            <w:pPr>
              <w:spacing w:before="0" w:after="0"/>
            </w:pPr>
            <w:r>
              <w:rPr>
                <w:sz w:val="19"/>
              </w:rPr>
              <w:t>Browser check of the UI, production build, 5 steps</w:t>
            </w:r>
          </w:p>
        </w:tc>
        <w:tc>
          <w:tcPr>
            <w:tcW w:w="2600" w:type="dxa"/>
          </w:tcPr>
          <w:p>
            <w:pPr>
              <w:spacing w:before="0" w:after="0"/>
            </w:pPr>
            <w:r>
              <w:rPr>
                <w:sz w:val="19"/>
              </w:rPr>
              <w:t>S1-AC1, S1-AC2, S2-AC1, S2-AC2, R1, 403 as specified</w:t>
            </w:r>
          </w:p>
        </w:tc>
        <w:tc>
          <w:tcPr>
            <w:tcW w:w="2893" w:type="dxa"/>
          </w:tcPr>
          <w:p>
            <w:pPr>
              <w:spacing w:before="0" w:after="0"/>
            </w:pPr>
            <w:r>
              <w:rPr>
                <w:sz w:val="19"/>
              </w:rPr>
              <w:t>5/5, screenshots in team report A3</w:t>
            </w:r>
          </w:p>
        </w:tc>
      </w:tr>
      <w:tr>
        <w:trPr>
          <w:cantSplit/>
        </w:trPr>
        <w:tc>
          <w:tcPr>
            <w:tcW w:w="4400" w:type="dxa"/>
          </w:tcPr>
          <w:p>
            <w:pPr>
              <w:spacing w:before="0" w:after="0"/>
            </w:pPr>
            <w:r>
              <w:rPr>
                <w:sz w:val="19"/>
              </w:rPr>
              <w:t>D1 check: R2 set to 5 s in C2 only, no change to C1</w:t>
            </w:r>
          </w:p>
        </w:tc>
        <w:tc>
          <w:tcPr>
            <w:tcW w:w="2600" w:type="dxa"/>
          </w:tcPr>
          <w:p>
            <w:pPr>
              <w:spacing w:before="0" w:after="0"/>
            </w:pPr>
            <w:r>
              <w:rPr>
                <w:sz w:val="19"/>
              </w:rPr>
              <w:t>Table free again after 5 s</w:t>
            </w:r>
          </w:p>
        </w:tc>
        <w:tc>
          <w:tcPr>
            <w:tcW w:w="2893" w:type="dxa"/>
          </w:tcPr>
          <w:p>
            <w:pPr>
              <w:spacing w:before="0" w:after="0"/>
            </w:pPr>
            <w:r>
              <w:rPr>
                <w:sz w:val="19"/>
              </w:rPr>
              <w:t>Free after 5 s</w:t>
            </w:r>
          </w:p>
        </w:tc>
      </w:tr>
      <w:tr>
        <w:trPr>
          <w:cantSplit/>
        </w:trPr>
        <w:tc>
          <w:tcPr>
            <w:tcW w:w="4400" w:type="dxa"/>
          </w:tcPr>
          <w:p>
            <w:pPr>
              <w:spacing w:before="0" w:after="0"/>
            </w:pPr>
            <w:r>
              <w:rPr>
                <w:sz w:val="19"/>
              </w:rPr>
              <w:t>npm test, npm run lint, npx tsc --noEmit, npm run build</w:t>
            </w:r>
          </w:p>
        </w:tc>
        <w:tc>
          <w:tcPr>
            <w:tcW w:w="2600" w:type="dxa"/>
          </w:tcPr>
          <w:p>
            <w:pPr>
              <w:spacing w:before="0" w:after="0"/>
            </w:pPr>
            <w:r>
              <w:rPr>
                <w:sz w:val="19"/>
              </w:rPr>
              <w:t>All pass</w:t>
            </w:r>
          </w:p>
        </w:tc>
        <w:tc>
          <w:tcPr>
            <w:tcW w:w="2893" w:type="dxa"/>
          </w:tcPr>
          <w:p>
            <w:pPr>
              <w:spacing w:before="0" w:after="0"/>
            </w:pPr>
            <w:r>
              <w:rPr>
                <w:sz w:val="19"/>
              </w:rPr>
              <w:t>28/28 tests; lint, types, build OK</w:t>
            </w:r>
          </w:p>
        </w:tc>
      </w:tr>
    </w:tbl>
    <w:p>
      <w:pPr>
        <w:spacing w:after="60"/>
      </w:pPr>
    </w:p>
    <w:p>
      <w:r>
        <w:rPr>
          <w:b/>
        </w:rPr>
        <w:t>Remaining issue:</w:t>
      </w:r>
      <w:r>
        <w:t xml:space="preserve"> the map reloads only when the page opens and after the student's own action, so another student's check-in appears after a reload. Automatic refresh is my first task after the midterm. The UI also has no automated test yet; it is checked by hand.</w:t>
      </w:r>
    </w:p>
    <w:p>
      <w:r>
        <w:rPr>
          <w:b/>
        </w:rPr>
        <w:t>What I read in the backend myself.</w:t>
      </w:r>
      <w:r>
        <w:t xml:space="preserve"> Both route handlers and </w:t>
      </w:r>
      <w:r>
        <w:rPr>
          <w:rFonts w:ascii="Consolas" w:hAnsi="Consolas"/>
          <w:sz w:val="19"/>
        </w:rPr>
        <w:t>checkIn</w:t>
      </w:r>
      <w:r>
        <w:t xml:space="preserve"> / </w:t>
      </w:r>
      <w:r>
        <w:rPr>
          <w:rFonts w:ascii="Consolas" w:hAnsi="Consolas"/>
          <w:sz w:val="19"/>
        </w:rPr>
        <w:t>checkOut</w:t>
      </w:r>
      <w:r>
        <w:t xml:space="preserve"> in </w:t>
      </w:r>
      <w:r>
        <w:rPr>
          <w:rFonts w:ascii="Consolas" w:hAnsi="Consolas"/>
          <w:sz w:val="19"/>
        </w:rPr>
        <w:t>lib/seatStatus.ts</w:t>
      </w:r>
      <w:r>
        <w:t>: the order of checks (404, 400, 409, 403) matches the API contract, and the wrong-token test checks that the table stays occupied.</w:t>
      </w:r>
    </w:p>
    <w:p>
      <w:pPr>
        <w:shd w:val="clear" w:color="auto" w:fill="FFF2CC"/>
      </w:pPr>
      <w:r>
        <w:t>[Adam: AI use. State which tools you used for this work and how you checked their output, as the course and AI_USAGE.md require.]</w:t>
      </w:r>
    </w:p>
    <w:p>
      <w:pPr>
        <w:pStyle w:val="Heading1"/>
      </w:pPr>
      <w:r>
        <w:t xml:space="preserve">4 My next task</w:t>
      </w:r>
    </w:p>
    <w:p>
      <w:r>
        <w:t>Add automatic refresh of the map (Week 9), run the mockup user test P1 with Esteve (Week 9), and show S1 and S2 on the real cafeteria layout at the MVP demo M4 (Week 10). If P1 supports it, build the UI of "open to company" (S3) with the privacy rules of section 6 of the team report.</w:t>
      </w:r>
    </w:p>
    <w:sectPr w:rsidR="00A634D5"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0418762">
    <w:abstractNumId w:val="8"/>
  </w:num>
  <w:num w:numId="2" w16cid:durableId="966079858">
    <w:abstractNumId w:val="6"/>
  </w:num>
  <w:num w:numId="3" w16cid:durableId="2144421236">
    <w:abstractNumId w:val="5"/>
  </w:num>
  <w:num w:numId="4" w16cid:durableId="428738937">
    <w:abstractNumId w:val="4"/>
  </w:num>
  <w:num w:numId="5" w16cid:durableId="163396605">
    <w:abstractNumId w:val="7"/>
  </w:num>
  <w:num w:numId="6" w16cid:durableId="1310552775">
    <w:abstractNumId w:val="3"/>
  </w:num>
  <w:num w:numId="7" w16cid:durableId="1428037904">
    <w:abstractNumId w:val="2"/>
  </w:num>
  <w:num w:numId="8" w16cid:durableId="1713463024">
    <w:abstractNumId w:val="1"/>
  </w:num>
  <w:num w:numId="9" w16cid:durableId="21443036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10B5"/>
    <w:rsid w:val="00A634D5"/>
    <w:rsid w:val="00AA1D8D"/>
    <w:rsid w:val="00B47730"/>
    <w:rsid w:val="00CB0664"/>
    <w:rsid w:val="00E240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C6764"/>
  <w14:defaultImageDpi w14:val="300"/>
  <w15:docId w15:val="{423B35D2-2208-6346-B3C2-B65F4BD36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i/>
      <w:iCs/>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01" Type="http://schemas.openxmlformats.org/officeDocument/2006/relationships/hyperlink" Target="https://github.com/estvv/software-engineering-project" TargetMode="External"/><Relationship Id="rId102" Type="http://schemas.openxmlformats.org/officeDocument/2006/relationships/hyperlink" Target="https://github.com/estvv/software-engineering-project/pull/5" TargetMode="External"/><Relationship Id="rId103" Type="http://schemas.openxmlformats.org/officeDocument/2006/relationships/hyperlink" Target="https://github.com/estvv/software-engineering-project/blob/main/docs/API_contract.md" TargetMode="External"/><Relationship Id="rId104" Type="http://schemas.openxmlformats.org/officeDocument/2006/relationships/hyperlink" Target="https://github.com/estvv/software-engineering-project/pull/6" TargetMode="External"/><Relationship Id="rId105" Type="http://schemas.openxmlformats.org/officeDocument/2006/relationships/hyperlink" Target="https://github.com/estvv/software-engineering-project/pull/7" TargetMode="External"/><Relationship Id="rId106" Type="http://schemas.openxmlformats.org/officeDocument/2006/relationships/hyperlink" Target="https://github.com/estvv/software-engineering-project/pull/8" TargetMode="External"/><Relationship Id="rId107" Type="http://schemas.openxmlformats.org/officeDocument/2006/relationships/hyperlink" Target="https://github.com/estvv/software-engineering-project/pull/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Project Midterm Report</dc:title>
  <dc:subject>Submission guidance and report templates</dc:subject>
  <dc:creator>ISE4133 Software Engineering</dc:creator>
  <cp:keywords/>
  <dc:description>generated by python-docx</dc:description>
  <cp:lastModifiedBy>Jeong, Minoh</cp:lastModifiedBy>
  <cp:revision>2</cp:revision>
  <dcterms:created xsi:type="dcterms:W3CDTF">2013-12-23T23:15:00Z</dcterms:created>
  <dcterms:modified xsi:type="dcterms:W3CDTF">2026-10-12T12:32:00Z</dcterms:modified>
  <cp:category/>
</cp:coreProperties>
</file>