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Individual Contribution Report</w:t>
      </w:r>
    </w:p>
    <w:tbl>
      <w:tblPr>
        <w:tblStyle w:val="TableGrid"/>
        <w:tblW w:w="9893" w:type="dxa"/>
        <w:tblLayout w:type="fixed"/>
        <w:tblCellMar>
          <w:top w:w="40" w:type="dxa"/>
          <w:left w:w="80" w:type="dxa"/>
          <w:bottom w:w="40" w:type="dxa"/>
          <w:right w:w="80" w:type="dxa"/>
        </w:tblCellMar>
      </w:tblPr>
      <w:tblGrid>
        <w:gridCol w:w="1700"/>
        <w:gridCol w:w="2900"/>
        <w:gridCol w:w="1500"/>
        <w:gridCol w:w="3793"/>
      </w:tblGrid>
      <w:tr>
        <w:trPr>
          <w:cantSplit/>
        </w:trPr>
        <w:tc>
          <w:tcPr>
            <w:tcW w:w="1700" w:type="dxa"/>
          </w:tcPr>
          <w:p>
            <w:pPr>
              <w:spacing w:before="0" w:after="0"/>
            </w:pPr>
            <w:r>
              <w:rPr>
                <w:sz w:val="20"/>
              </w:rPr>
              <w:t xml:space="preserve">Name</w:t>
            </w:r>
          </w:p>
        </w:tc>
        <w:tc>
          <w:tcPr>
            <w:tcW w:w="2900" w:type="dxa"/>
          </w:tcPr>
          <w:p>
            <w:pPr>
              <w:spacing w:before="0" w:after="0"/>
            </w:pPr>
            <w:r>
              <w:rPr>
                <w:sz w:val="20"/>
              </w:rPr>
              <w:t xml:space="preserve">Esteve BASCUNANA</w:t>
            </w:r>
          </w:p>
        </w:tc>
        <w:tc>
          <w:tcPr>
            <w:tcW w:w="1500" w:type="dxa"/>
          </w:tcPr>
          <w:p>
            <w:pPr>
              <w:spacing w:before="0" w:after="0"/>
            </w:pPr>
            <w:r>
              <w:rPr>
                <w:sz w:val="20"/>
              </w:rPr>
              <w:t xml:space="preserve">Student ID</w:t>
            </w:r>
          </w:p>
        </w:tc>
        <w:tc>
          <w:tcPr>
            <w:tcW w:w="3793" w:type="dxa"/>
          </w:tcPr>
          <w:p>
            <w:pPr>
              <w:spacing w:before="0" w:after="0"/>
            </w:pPr>
            <w:r>
              <w:rPr>
                <w:sz w:val="20"/>
              </w:rPr>
              <w:t xml:space="preserve">12264733</w:t>
            </w:r>
          </w:p>
        </w:tc>
      </w:tr>
      <w:tr>
        <w:trPr>
          <w:cantSplit/>
        </w:trPr>
        <w:tc>
          <w:tcPr>
            <w:tcW w:w="1700" w:type="dxa"/>
          </w:tcPr>
          <w:p>
            <w:pPr>
              <w:spacing w:before="0" w:after="0"/>
            </w:pPr>
            <w:r>
              <w:rPr>
                <w:sz w:val="20"/>
              </w:rPr>
              <w:t xml:space="preserve">Team ID</w:t>
            </w:r>
          </w:p>
        </w:tc>
        <w:tc>
          <w:tcPr>
            <w:tcW w:w="2900" w:type="dxa"/>
          </w:tcPr>
          <w:p>
            <w:pPr>
              <w:spacing w:before="0" w:after="0"/>
            </w:pPr>
            <w:r>
              <w:rPr>
                <w:sz w:val="20"/>
              </w:rPr>
              <w:t xml:space="preserve">15</w:t>
            </w:r>
          </w:p>
        </w:tc>
        <w:tc>
          <w:tcPr>
            <w:tcW w:w="1500" w:type="dxa"/>
          </w:tcPr>
          <w:p>
            <w:pPr>
              <w:spacing w:before="0" w:after="0"/>
            </w:pPr>
            <w:r>
              <w:rPr>
                <w:sz w:val="20"/>
              </w:rPr>
              <w:t xml:space="preserve">Product</w:t>
            </w:r>
          </w:p>
        </w:tc>
        <w:tc>
          <w:tcPr>
            <w:tcW w:w="3793" w:type="dxa"/>
          </w:tcPr>
          <w:p>
            <w:pPr>
              <w:spacing w:before="0" w:after="0"/>
            </w:pPr>
            <w:r>
              <w:rPr>
                <w:sz w:val="20"/>
              </w:rPr>
              <w:t xml:space="preserve">SeatTogether</w:t>
            </w:r>
          </w:p>
        </w:tc>
      </w:tr>
      <w:tr>
        <w:trPr>
          <w:cantSplit/>
        </w:trPr>
        <w:tc>
          <w:tcPr>
            <w:tcW w:w="1700" w:type="dxa"/>
          </w:tcPr>
          <w:p>
            <w:pPr>
              <w:spacing w:before="0" w:after="0"/>
            </w:pPr>
            <w:r>
              <w:rPr>
                <w:sz w:val="20"/>
              </w:rPr>
              <w:t xml:space="preserve">Submission date</w:t>
            </w:r>
          </w:p>
        </w:tc>
        <w:tc>
          <w:tcPr>
            <w:tcW w:w="2900" w:type="dxa"/>
          </w:tcPr>
          <w:p>
            <w:pPr>
              <w:spacing w:before="0" w:after="0"/>
            </w:pPr>
            <w:r>
              <w:rPr>
                <w:sz w:val="20"/>
              </w:rPr>
              <w:t xml:space="preserve">2026-10-25</w:t>
            </w:r>
          </w:p>
        </w:tc>
        <w:tc>
          <w:tcPr>
            <w:tcW w:w="1500" w:type="dxa"/>
          </w:tcPr>
          <w:p>
            <w:pPr>
              <w:spacing w:before="0" w:after="0"/>
            </w:pPr>
            <w:r>
              <w:rPr>
                <w:sz w:val="20"/>
              </w:rPr>
              <w:t xml:space="preserve">Repository</w:t>
            </w:r>
          </w:p>
        </w:tc>
        <w:tc>
          <w:tcPr>
            <w:tcW w:w="3793" w:type="dxa"/>
          </w:tcPr>
          <w:p>
            <w:pPr>
              <w:spacing w:before="0" w:after="0"/>
            </w:pPr>
            <w:hyperlink r:id="rId101">
              <w:r>
                <w:rPr>
                  <w:u w:val="single"/>
                  <w:color w:val="1155CC"/>
                  <w:sz w:val="20"/>
                </w:rPr>
                <w:t xml:space="preserve">estvv/software-engineering-project</w:t>
              </w:r>
            </w:hyperlink>
          </w:p>
        </w:tc>
      </w:tr>
    </w:tbl>
    <w:p>
      <w:pPr>
        <w:spacing w:after="60"/>
      </w:pPr>
    </w:p>
    <w:p>
      <w:pPr>
        <w:pStyle w:val="Heading1"/>
      </w:pPr>
      <w:r>
        <w:t xml:space="preserve">1 My work and evidence</w:t>
      </w:r>
    </w:p>
    <w:p>
      <w:r>
        <w:t xml:space="preserve">I was responsible for the team's planning and design documents and for the whole backend. Claude Code drafted most of the text and code from my decisions (see section 3). Each item goes through a pull request reviewed by Adam.</w:t>
      </w:r>
    </w:p>
    <w:p>
      <w:pPr>
        <w:pStyle w:val="ListBullet"/>
      </w:pPr>
      <w:r>
        <w:rPr>
          <w:b/>
        </w:rPr>
        <w:t xml:space="preserve">Midterm plan and decisions</w:t>
      </w:r>
      <w:r>
        <w:t xml:space="preserve"> (</w:t>
      </w:r>
      <w:hyperlink r:id="rId102">
        <w:r>
          <w:rPr>
            <w:u w:val="single"/>
            <w:color w:val="1155CC"/>
          </w:rPr>
          <w:t xml:space="preserve">PR #5</w:t>
        </w:r>
      </w:hyperlink>
      <w:r>
        <w:t xml:space="preserve">): split of the work, and the decisions on the stack (Next.js), rule R1 (refuse a check-in at an occupied table) and rule R2 (60-minute expiry).</w:t>
      </w:r>
    </w:p>
    <w:p>
      <w:pPr>
        <w:pStyle w:val="ListBullet"/>
      </w:pPr>
      <w:r>
        <w:rPr>
          <w:b/>
        </w:rPr>
        <w:t xml:space="preserve">API contract</w:t>
      </w:r>
      <w:r>
        <w:t xml:space="preserve"> (</w:t>
      </w:r>
      <w:hyperlink r:id="rId103">
        <w:r>
          <w:rPr>
            <w:u w:val="single"/>
            <w:color w:val="1155CC"/>
          </w:rPr>
          <w:t xml:space="preserve">API_contract.md</w:t>
        </w:r>
      </w:hyperlink>
      <w:r>
        <w:t xml:space="preserve">, </w:t>
      </w:r>
      <w:hyperlink r:id="rId104">
        <w:r>
          <w:rPr>
            <w:u w:val="single"/>
            <w:color w:val="1155CC"/>
          </w:rPr>
          <w:t xml:space="preserve">PR #6</w:t>
        </w:r>
      </w:hyperlink>
      <w:r>
        <w:t xml:space="preserve">): the interface between the map UI (C1) and the Seat Status Service (C2), with error codes and traceability to S1, S2, R1 and R2.</w:t>
      </w:r>
    </w:p>
    <w:p>
      <w:pPr>
        <w:pStyle w:val="ListBullet"/>
      </w:pPr>
      <w:r>
        <w:rPr>
          <w:b/>
        </w:rPr>
        <w:t xml:space="preserve">Backend and tests</w:t>
      </w:r>
      <w:r>
        <w:t xml:space="preserve"> (</w:t>
      </w:r>
      <w:hyperlink r:id="rId105">
        <w:r>
          <w:rPr>
            <w:u w:val="single"/>
            <w:color w:val="1155CC"/>
          </w:rPr>
          <w:t xml:space="preserve">PR #7</w:t>
        </w:r>
      </w:hyperlink>
      <w:r>
        <w:t xml:space="preserve">, </w:t>
      </w:r>
      <w:hyperlink r:id="rId106">
        <w:r>
          <w:rPr>
            <w:u w:val="single"/>
            <w:color w:val="1155CC"/>
          </w:rPr>
          <w:t xml:space="preserve">PR #8</w:t>
        </w:r>
      </w:hyperlink>
      <w:r>
        <w:t xml:space="preserve">): C2, C3, C4 and the three API routes, 28 automated tests, and the script </w:t>
      </w:r>
      <w:r>
        <w:rPr>
          <w:rFonts w:ascii="Consolas" w:hAnsi="Consolas" w:cs="Consolas"/>
          <w:sz w:val="19"/>
        </w:rPr>
        <w:t xml:space="preserve">scripts/api_check.sh</w:t>
      </w:r>
      <w:r>
        <w:t xml:space="preserve">.</w:t>
      </w:r>
    </w:p>
    <w:p>
      <w:pPr>
        <w:pStyle w:val="ListBullet"/>
      </w:pPr>
      <w:r>
        <w:rPr>
          <w:b/>
        </w:rPr>
        <w:t xml:space="preserve">Team report</w:t>
      </w:r>
      <w:r>
        <w:t xml:space="preserve"> sections 1–5 (backend part) and the evidence appendix (</w:t>
      </w:r>
      <w:hyperlink r:id="rId107">
        <w:r>
          <w:rPr>
            <w:u w:val="single"/>
            <w:color w:val="1155CC"/>
          </w:rPr>
          <w:t xml:space="preserve">PR #25</w:t>
        </w:r>
      </w:hyperlink>
      <w:r>
        <w:t xml:space="preserve">).</w:t>
      </w:r>
    </w:p>
    <w:p>
      <w:pPr>
        <w:pStyle w:val="Heading1"/>
      </w:pPr>
      <w:r>
        <w:t xml:space="preserve">2 One decision I can explain</w:t>
      </w:r>
    </w:p>
    <w:p>
      <w:r>
        <w:rPr>
          <w:b/>
        </w:rPr>
        <w:t xml:space="preserve">Choice.</w:t>
      </w:r>
      <w:r>
        <w:t xml:space="preserve"> To free a table, the student must send back the token the server gave them at check-in. I put this token in the API contract from the first version.</w:t>
      </w:r>
    </w:p>
    <w:p>
      <w:r>
        <w:rPr>
          <w:b/>
        </w:rPr>
        <w:t xml:space="preserve">Alternatives.</w:t>
      </w:r>
      <w:r>
        <w:t xml:space="preserve"> (a) No check: anyone can call check-out on any table and free a table someone is sitting at. (b) User accounts with login: the server would know who checked in.</w:t>
      </w:r>
    </w:p>
    <w:p>
      <w:r>
        <w:rPr>
          <w:b/>
        </w:rPr>
        <w:t xml:space="preserve">Why the token.</w:t>
      </w:r>
      <w:r>
        <w:t xml:space="preserve"> It closes the risk of (a) without the cost of (b). Accounts mean storing passwords and personal data, and a login step for a student holding a tray. The token links a check-in to one browser and stores no name or student ID (data minimization, Week 7). Putting it in the contract before the UI was built avoids changing the interface later (stable interfaces, Week 6). </w:t>
      </w:r>
      <w:r>
        <w:rPr>
          <w:b/>
        </w:rPr>
        <w:t xml:space="preserve">Cost:</w:t>
      </w:r>
      <w:r>
        <w:t xml:space="preserve"> if the browser loses the token, the student cannot check out, and the table only frees itself after 60 minutes (R2).</w:t>
      </w:r>
    </w:p>
    <w:p>
      <w:r>
        <w:rPr>
          <w:b/>
        </w:rPr>
        <w:t xml:space="preserve">Link to the product.</w:t>
      </w:r>
      <w:r>
        <w:t xml:space="preserve"> This makes S2 ("I'm leaving") trustworthy: the map in S1 only shows a table as free when the person sitting there freed it, or when the check-in expired.</w:t>
      </w:r>
    </w:p>
    <w:p>
      <w:pPr>
        <w:pStyle w:val="Heading1"/>
      </w:pPr>
      <w:r>
        <w:t xml:space="preserve">3 How I checked the result</w:t>
      </w:r>
    </w:p>
    <w:tbl>
      <w:tblPr>
        <w:tblStyle w:val="TableGrid"/>
        <w:tblW w:w="9893" w:type="dxa"/>
        <w:tblLayout w:type="fixed"/>
        <w:tblCellMar>
          <w:top w:w="40" w:type="dxa"/>
          <w:left w:w="80" w:type="dxa"/>
          <w:bottom w:w="40" w:type="dxa"/>
          <w:right w:w="80" w:type="dxa"/>
        </w:tblCellMar>
      </w:tblPr>
      <w:tblGrid>
        <w:gridCol w:w="4400"/>
        <w:gridCol w:w="2600"/>
        <w:gridCol w:w="2893"/>
      </w:tblGrid>
      <w:tr>
        <w:trPr>
          <w:tblHeader/>
          <w:cantSplit/>
        </w:trPr>
        <w:tc>
          <w:tcPr>
            <w:tcW w:w="4400" w:type="dxa"/>
            <w:shd w:val="clear" w:color="auto" w:fill="D9E2F3"/>
          </w:tcPr>
          <w:p>
            <w:pPr>
              <w:spacing w:before="0" w:after="0"/>
            </w:pPr>
            <w:r>
              <w:rPr>
                <w:b/>
                <w:sz w:val="19"/>
              </w:rPr>
              <w:t xml:space="preserve">Check (2026-10-15, commit </w:t>
            </w:r>
            <w:r>
              <w:rPr>
                <w:rFonts w:ascii="Consolas" w:hAnsi="Consolas" w:cs="Consolas"/>
                <w:sz w:val="19"/>
              </w:rPr>
              <w:t xml:space="preserve">d786cca</w:t>
            </w:r>
            <w:r>
              <w:rPr>
                <w:b/>
                <w:sz w:val="19"/>
              </w:rPr>
              <w:t xml:space="preserve">)</w:t>
            </w:r>
          </w:p>
        </w:tc>
        <w:tc>
          <w:tcPr>
            <w:tcW w:w="2600" w:type="dxa"/>
            <w:shd w:val="clear" w:color="auto" w:fill="D9E2F3"/>
          </w:tcPr>
          <w:p>
            <w:pPr>
              <w:spacing w:before="0" w:after="0"/>
            </w:pPr>
            <w:r>
              <w:rPr>
                <w:b/>
                <w:sz w:val="19"/>
              </w:rPr>
              <w:t xml:space="preserve">Expected</w:t>
            </w:r>
          </w:p>
        </w:tc>
        <w:tc>
          <w:tcPr>
            <w:tcW w:w="2893" w:type="dxa"/>
            <w:shd w:val="clear" w:color="auto" w:fill="D9E2F3"/>
          </w:tcPr>
          <w:p>
            <w:pPr>
              <w:spacing w:before="0" w:after="0"/>
            </w:pPr>
            <w:r>
              <w:rPr>
                <w:b/>
                <w:sz w:val="19"/>
              </w:rPr>
              <w:t xml:space="preserve">Actual</w:t>
            </w:r>
          </w:p>
        </w:tc>
      </w:tr>
      <w:tr>
        <w:trPr>
          <w:cantSplit/>
        </w:trPr>
        <w:tc>
          <w:tcPr>
            <w:tcW w:w="4400" w:type="dxa"/>
          </w:tcPr>
          <w:p>
            <w:pPr>
              <w:spacing w:before="0" w:after="0"/>
            </w:pPr>
            <w:r>
              <w:rPr>
                <w:rFonts w:ascii="Consolas" w:hAnsi="Consolas" w:cs="Consolas"/>
                <w:sz w:val="19"/>
              </w:rPr>
              <w:t xml:space="preserve">npm test</w:t>
            </w:r>
          </w:p>
        </w:tc>
        <w:tc>
          <w:tcPr>
            <w:tcW w:w="2600" w:type="dxa"/>
          </w:tcPr>
          <w:p>
            <w:pPr>
              <w:spacing w:before="0" w:after="0"/>
            </w:pPr>
            <w:r>
              <w:rPr>
                <w:sz w:val="19"/>
              </w:rPr>
              <w:t xml:space="preserve">All tests pass</w:t>
            </w:r>
          </w:p>
        </w:tc>
        <w:tc>
          <w:tcPr>
            <w:tcW w:w="2893" w:type="dxa"/>
          </w:tcPr>
          <w:p>
            <w:pPr>
              <w:spacing w:before="0" w:after="0"/>
            </w:pPr>
            <w:r>
              <w:rPr>
                <w:sz w:val="19"/>
              </w:rPr>
              <w:t xml:space="preserve">28/28 passed</w:t>
            </w:r>
          </w:p>
        </w:tc>
      </w:tr>
      <w:tr>
        <w:trPr>
          <w:cantSplit/>
        </w:trPr>
        <w:tc>
          <w:tcPr>
            <w:tcW w:w="4400" w:type="dxa"/>
          </w:tcPr>
          <w:p>
            <w:pPr>
              <w:spacing w:before="0" w:after="0"/>
            </w:pPr>
            <w:r>
              <w:rPr>
                <w:rFonts w:ascii="Consolas" w:hAnsi="Consolas" w:cs="Consolas"/>
                <w:sz w:val="19"/>
              </w:rPr>
              <w:t xml:space="preserve">bash scripts/api_check.sh</w:t>
            </w:r>
            <w:r>
              <w:rPr>
                <w:sz w:val="19"/>
              </w:rPr>
              <w:t xml:space="preserve"> (six real HTTP requests)</w:t>
            </w:r>
          </w:p>
        </w:tc>
        <w:tc>
          <w:tcPr>
            <w:tcW w:w="2600" w:type="dxa"/>
          </w:tcPr>
          <w:p>
            <w:pPr>
              <w:spacing w:before="0" w:after="0"/>
            </w:pPr>
            <w:r>
              <w:rPr>
                <w:sz w:val="19"/>
              </w:rPr>
              <w:t xml:space="preserve">201, 200, 409, 403, 200, 404</w:t>
            </w:r>
          </w:p>
        </w:tc>
        <w:tc>
          <w:tcPr>
            <w:tcW w:w="2893" w:type="dxa"/>
          </w:tcPr>
          <w:p>
            <w:pPr>
              <w:spacing w:before="0" w:after="0"/>
            </w:pPr>
            <w:r>
              <w:rPr>
                <w:sz w:val="19"/>
              </w:rPr>
              <w:t xml:space="preserve">Same six codes; messages match the contract (6/6)</w:t>
            </w:r>
          </w:p>
        </w:tc>
      </w:tr>
    </w:tbl>
    <w:p>
      <w:pPr>
        <w:spacing w:after="60"/>
      </w:pPr>
    </w:p>
    <w:p>
      <w:r>
        <w:t xml:space="preserve">Screenshots: team report, appendix A1 and A2. </w:t>
      </w:r>
      <w:r>
        <w:rPr>
          <w:b/>
        </w:rPr>
        <w:t xml:space="preserve">Remaining issue:</w:t>
      </w:r>
      <w:r>
        <w:t xml:space="preserve"> if a check-in response is lost (timeout), the student gets no token. A retry is refused with 409, and the table stays occupied until the 60-minute expiry. We accept this for v1, and the contract says so.</w:t>
      </w:r>
    </w:p>
    <w:p>
      <w:r>
        <w:rPr>
          <w:b/>
        </w:rPr>
        <w:t xml:space="preserve">AI use.</w:t>
      </w:r>
      <w:r>
        <w:t xml:space="preserve"> Claude Code drafted the contract, the backend code, the tests and the report sections, based on my decisions (AI_USAGE.md entries 6–9 and 11). I chose between the options it proposed. For the stack, I chose Next.js instead of the Node + Express it recommended. I verified the result by running the tests and the API check myself, not by trusting the AI's own runs.</w:t>
      </w:r>
    </w:p>
    <w:p>
      <w:pPr>
        <w:shd w:val="clear" w:color="auto" w:fill="FFF2CC"/>
      </w:pPr>
      <w:r>
        <w:rPr>
          <w:i/>
          <w:color w:val="7F6000"/>
        </w:rPr>
        <w:t xml:space="preserve">[Esteve: add one sentence on what you read or changed in the code yourself, e.g. "I read lib/seatStatus.ts and checked that R1 and R2 match the backlog." Write only what you actually did.]</w:t>
      </w:r>
    </w:p>
    <w:p>
      <w:pPr>
        <w:pStyle w:val="Heading1"/>
      </w:pPr>
      <w:r>
        <w:t xml:space="preserve">4 My next task</w:t>
      </w:r>
    </w:p>
    <w:p>
      <w:r>
        <w:t xml:space="preserve">Review and merge Adam's map UI and S2 buttons, then assemble and submit the team report with the tag </w:t>
      </w:r>
      <w:r>
        <w:rPr>
          <w:rFonts w:ascii="Consolas" w:hAnsi="Consolas" w:cs="Consolas"/>
          <w:sz w:val="19"/>
        </w:rPr>
        <w:t xml:space="preserve">midterm-v1</w:t>
      </w:r>
      <w:r>
        <w:t xml:space="preserve"> (Week 8, by 2026-10-25). After the midterm, replace the temporary 3 × 4 layout with the real cafeteria from our sketch (backlog P2, Week 9), before the MVP demo in Week 10.</w:t>
      </w:r>
    </w:p>
    <w:sectPr w:rsidR="00A634D5"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418762">
    <w:abstractNumId w:val="8"/>
  </w:num>
  <w:num w:numId="2" w16cid:durableId="966079858">
    <w:abstractNumId w:val="6"/>
  </w:num>
  <w:num w:numId="3" w16cid:durableId="2144421236">
    <w:abstractNumId w:val="5"/>
  </w:num>
  <w:num w:numId="4" w16cid:durableId="428738937">
    <w:abstractNumId w:val="4"/>
  </w:num>
  <w:num w:numId="5" w16cid:durableId="163396605">
    <w:abstractNumId w:val="7"/>
  </w:num>
  <w:num w:numId="6" w16cid:durableId="1310552775">
    <w:abstractNumId w:val="3"/>
  </w:num>
  <w:num w:numId="7" w16cid:durableId="1428037904">
    <w:abstractNumId w:val="2"/>
  </w:num>
  <w:num w:numId="8" w16cid:durableId="1713463024">
    <w:abstractNumId w:val="1"/>
  </w:num>
  <w:num w:numId="9" w16cid:durableId="21443036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0B5"/>
    <w:rsid w:val="00A634D5"/>
    <w:rsid w:val="00AA1D8D"/>
    <w:rsid w:val="00B47730"/>
    <w:rsid w:val="00CB0664"/>
    <w:rsid w:val="00E24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C6764"/>
  <w14:defaultImageDpi w14:val="300"/>
  <w15:docId w15:val="{423B35D2-2208-6346-B3C2-B65F4BD3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1" Type="http://schemas.openxmlformats.org/officeDocument/2006/relationships/hyperlink" Target="https://github.com/estvv/software-engineering-project" TargetMode="External"/><Relationship Id="rId102" Type="http://schemas.openxmlformats.org/officeDocument/2006/relationships/hyperlink" Target="https://github.com/estvv/software-engineering-project/pull/5" TargetMode="External"/><Relationship Id="rId103" Type="http://schemas.openxmlformats.org/officeDocument/2006/relationships/hyperlink" Target="https://github.com/estvv/software-engineering-project/blob/main/docs/API_contract.md" TargetMode="External"/><Relationship Id="rId104" Type="http://schemas.openxmlformats.org/officeDocument/2006/relationships/hyperlink" Target="https://github.com/estvv/software-engineering-project/pull/6" TargetMode="External"/><Relationship Id="rId105" Type="http://schemas.openxmlformats.org/officeDocument/2006/relationships/hyperlink" Target="https://github.com/estvv/software-engineering-project/pull/7" TargetMode="External"/><Relationship Id="rId106" Type="http://schemas.openxmlformats.org/officeDocument/2006/relationships/hyperlink" Target="https://github.com/estvv/software-engineering-project/pull/8" TargetMode="External"/><Relationship Id="rId107" Type="http://schemas.openxmlformats.org/officeDocument/2006/relationships/hyperlink" Target="https://github.com/estvv/software-engineering-project/pull/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Project Midterm Report</dc:title>
  <dc:subject>Submission guidance and report templates</dc:subject>
  <dc:creator>ISE4133 Software Engineering</dc:creator>
  <cp:keywords/>
  <dc:description>generated by python-docx</dc:description>
  <cp:lastModifiedBy>Jeong, Minoh</cp:lastModifiedBy>
  <cp:revision>2</cp:revision>
  <dcterms:created xsi:type="dcterms:W3CDTF">2013-12-23T23:15:00Z</dcterms:created>
  <dcterms:modified xsi:type="dcterms:W3CDTF">2026-10-12T12:32:00Z</dcterms:modified>
  <cp:category/>
</cp:coreProperties>
</file>