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69"/>
        <w:rPr>
          <w:rFonts w:ascii="Times New Roman" w:hAnsi="Times New Roman" w:eastAsia="Times New Roman"/>
          <w:sz w:val="24"/>
        </w:rPr>
      </w:pPr>
      <w:r>
        <w:rPr>
          <w:rFonts w:eastAsia="Times New Roman" w:ascii="Times New Roman" w:hAnsi="Times New Roman"/>
          <w:sz w:val="24"/>
        </w:rPr>
      </w:r>
    </w:p>
    <w:p>
      <w:pPr>
        <w:pStyle w:val="Normal"/>
        <w:spacing w:lineRule="auto" w:line="273"/>
        <w:ind w:left="1700" w:hanging="0"/>
        <w:jc w:val="center"/>
        <w:rPr>
          <w:rFonts w:ascii="Times New Roman" w:hAnsi="Times New Roman" w:eastAsia="Times New Roman"/>
          <w:b/>
          <w:b/>
          <w:sz w:val="32"/>
        </w:rPr>
      </w:pPr>
      <w:r>
        <w:rPr>
          <w:rFonts w:eastAsia="Times New Roman" w:ascii="Times New Roman" w:hAnsi="Times New Roman"/>
          <w:b/>
          <w:sz w:val="32"/>
        </w:rPr>
        <w:t xml:space="preserve">Extension Study of Neural Regulation Therapy on Myocardial Function in Heart Failure </w:t>
      </w:r>
    </w:p>
    <w:p>
      <w:pPr>
        <w:pStyle w:val="Normal"/>
        <w:spacing w:lineRule="auto" w:line="273"/>
        <w:ind w:left="1700" w:hanging="0"/>
        <w:jc w:val="center"/>
        <w:rPr>
          <w:rFonts w:ascii="Times New Roman" w:hAnsi="Times New Roman" w:eastAsia="Times New Roman"/>
          <w:b/>
          <w:b/>
          <w:sz w:val="32"/>
        </w:rPr>
      </w:pPr>
      <w:r>
        <w:rPr>
          <w:rFonts w:eastAsia="Times New Roman" w:ascii="Times New Roman" w:hAnsi="Times New Roman"/>
          <w:b/>
          <w:sz w:val="32"/>
        </w:rPr>
        <w:t>(ENCORE 24 months follow up)</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86"/>
        <w:rPr>
          <w:rFonts w:ascii="Times New Roman" w:hAnsi="Times New Roman" w:eastAsia="Times New Roman"/>
          <w:sz w:val="24"/>
        </w:rPr>
      </w:pPr>
      <w:r>
        <w:rPr>
          <w:rFonts w:eastAsia="Times New Roman" w:ascii="Times New Roman" w:hAnsi="Times New Roman"/>
          <w:sz w:val="24"/>
        </w:rPr>
      </w:r>
    </w:p>
    <w:p>
      <w:pPr>
        <w:pStyle w:val="Normal"/>
        <w:spacing w:lineRule="auto"/>
        <w:jc w:val="center"/>
        <w:rPr>
          <w:rFonts w:ascii="Times New Roman" w:hAnsi="Times New Roman" w:eastAsia="Times New Roman"/>
          <w:b/>
          <w:b/>
          <w:sz w:val="40"/>
        </w:rPr>
      </w:pPr>
      <w:r>
        <w:rPr>
          <w:rFonts w:eastAsia="Times New Roman" w:ascii="Times New Roman" w:hAnsi="Times New Roman"/>
          <w:b/>
          <w:sz w:val="40"/>
        </w:rPr>
        <w:t>Statistical Analysis Report</w:t>
      </w:r>
    </w:p>
    <w:p>
      <w:pPr>
        <w:pStyle w:val="Normal"/>
        <w:spacing w:lineRule="exact" w:line="15"/>
        <w:rPr>
          <w:rFonts w:ascii="Times New Roman" w:hAnsi="Times New Roman" w:eastAsia="Times New Roman"/>
          <w:sz w:val="24"/>
        </w:rPr>
      </w:pPr>
      <w:r>
        <w:rPr>
          <w:rFonts w:eastAsia="Times New Roman" w:ascii="Times New Roman" w:hAnsi="Times New Roman"/>
          <w:sz w:val="24"/>
        </w:rPr>
      </w:r>
    </w:p>
    <w:p>
      <w:pPr>
        <w:pStyle w:val="Normal"/>
        <w:spacing w:lineRule="auto"/>
        <w:ind w:left="4220" w:hanging="0"/>
        <w:rPr>
          <w:rFonts w:ascii="Times New Roman" w:hAnsi="Times New Roman" w:eastAsia="Times New Roman"/>
          <w:b/>
          <w:b/>
          <w:sz w:val="24"/>
        </w:rPr>
      </w:pPr>
      <w:r>
        <w:rPr>
          <w:rFonts w:eastAsia="Times New Roman" w:ascii="Times New Roman" w:hAnsi="Times New Roman"/>
          <w:b/>
          <w:sz w:val="24"/>
        </w:rPr>
        <w:t>(Version 1.0)</w:t>
      </w:r>
    </w:p>
    <w:p>
      <w:pPr>
        <w:pStyle w:val="Normal"/>
        <w:spacing w:lineRule="exact" w:line="247"/>
        <w:rPr>
          <w:rFonts w:ascii="Times New Roman" w:hAnsi="Times New Roman" w:eastAsia="Times New Roman"/>
          <w:sz w:val="24"/>
        </w:rPr>
      </w:pPr>
      <w:r>
        <w:rPr>
          <w:rFonts w:eastAsia="Times New Roman" w:ascii="Times New Roman" w:hAnsi="Times New Roman"/>
          <w:sz w:val="24"/>
        </w:rPr>
      </w:r>
    </w:p>
    <w:p>
      <w:pPr>
        <w:pStyle w:val="Normal"/>
        <w:spacing w:lineRule="auto"/>
        <w:ind w:left="4160" w:hanging="0"/>
        <w:rPr>
          <w:rFonts w:ascii="Times New Roman" w:hAnsi="Times New Roman" w:eastAsia="Times New Roman"/>
          <w:b/>
          <w:b/>
          <w:sz w:val="24"/>
        </w:rPr>
      </w:pPr>
      <w:r>
        <w:rPr>
          <w:rFonts w:eastAsia="Times New Roman" w:ascii="Times New Roman" w:hAnsi="Times New Roman"/>
          <w:b/>
          <w:sz w:val="24"/>
        </w:rPr>
        <w:t>08</w:t>
      </w:r>
      <w:r>
        <w:rPr>
          <w:rFonts w:eastAsia="Times New Roman" w:ascii="Times New Roman" w:hAnsi="Times New Roman"/>
          <w:b/>
          <w:sz w:val="32"/>
          <w:vertAlign w:val="superscript"/>
        </w:rPr>
        <w:t>th</w:t>
      </w:r>
      <w:r>
        <w:rPr>
          <w:rFonts w:eastAsia="Times New Roman" w:ascii="Times New Roman" w:hAnsi="Times New Roman"/>
          <w:b/>
          <w:sz w:val="24"/>
        </w:rPr>
        <w:t xml:space="preserve"> Feb 2018</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auto"/>
        <w:jc w:val="center"/>
        <w:rPr>
          <w:rFonts w:ascii="Times New Roman" w:hAnsi="Times New Roman" w:eastAsia="Times New Roman"/>
          <w:b/>
          <w:b/>
          <w:sz w:val="36"/>
          <w:szCs w:val="36"/>
        </w:rPr>
      </w:pPr>
      <w:r>
        <w:rPr>
          <w:rFonts w:eastAsia="Times New Roman" w:ascii="Times New Roman" w:hAnsi="Times New Roman"/>
          <w:b/>
          <w:sz w:val="36"/>
          <w:szCs w:val="36"/>
        </w:rPr>
        <w:t>Protocol No.:C-03</w:t>
      </w:r>
    </w:p>
    <w:p>
      <w:pPr>
        <w:pStyle w:val="Normal"/>
        <w:spacing w:lineRule="exact" w:line="200"/>
        <w:jc w:val="center"/>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12"/>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b/>
          <w:b/>
        </w:rPr>
      </w:pPr>
      <w:r>
        <w:rPr>
          <w:rFonts w:eastAsia="Times New Roman" w:ascii="Times New Roman" w:hAnsi="Times New Roman"/>
          <w:b/>
        </w:rPr>
        <w:t>Prepared by:</w:t>
      </w:r>
    </w:p>
    <w:p>
      <w:pPr>
        <w:pStyle w:val="Normal"/>
        <w:spacing w:lineRule="exact" w:line="119"/>
        <w:rPr>
          <w:rFonts w:ascii="Times New Roman" w:hAnsi="Times New Roman" w:eastAsia="Times New Roman"/>
          <w:sz w:val="24"/>
        </w:rPr>
      </w:pPr>
      <w:r>
        <w:rPr>
          <w:rFonts w:eastAsia="Times New Roman" w:ascii="Times New Roman" w:hAnsi="Times New Roman"/>
          <w:sz w:val="24"/>
        </w:rPr>
      </w:r>
    </w:p>
    <w:p>
      <w:pPr>
        <w:pStyle w:val="Normal"/>
        <w:spacing w:lineRule="auto" w:line="288"/>
        <w:jc w:val="both"/>
        <w:rPr>
          <w:rFonts w:ascii="Times New Roman" w:hAnsi="Times New Roman" w:eastAsia="" w:cs="Times New Roman" w:eastAsiaTheme="minorEastAsia"/>
        </w:rPr>
      </w:pPr>
      <w:r>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b/>
          <w:b/>
        </w:rPr>
      </w:pPr>
      <w:r>
        <w:rPr>
          <w:rFonts w:eastAsia="Times New Roman" w:ascii="Times New Roman" w:hAnsi="Times New Roman"/>
          <w:b/>
        </w:rPr>
      </w:r>
      <w:bookmarkStart w:id="0" w:name="page2"/>
      <w:bookmarkStart w:id="1" w:name="page2"/>
      <w:bookmarkEnd w:id="1"/>
    </w:p>
    <w:p>
      <w:pPr>
        <w:pStyle w:val="Normal"/>
        <w:spacing w:lineRule="auto"/>
        <w:rPr>
          <w:rFonts w:ascii="Times New Roman" w:hAnsi="Times New Roman" w:eastAsia="Times New Roman"/>
          <w:b/>
          <w:b/>
        </w:rPr>
      </w:pPr>
      <w:r>
        <w:rPr>
          <w:rFonts w:eastAsia="Times New Roman" w:ascii="Times New Roman" w:hAnsi="Times New Roman"/>
          <w:b/>
        </w:rPr>
        <w:t>Sponsor Signature:</w:t>
      </w:r>
    </w:p>
    <w:p>
      <w:pPr>
        <w:pStyle w:val="Normal"/>
        <w:spacing w:lineRule="exact" w:line="117"/>
        <w:rPr>
          <w:rFonts w:ascii="Times New Roman" w:hAnsi="Times New Roman" w:eastAsia="Times New Roman"/>
        </w:rPr>
      </w:pPr>
      <w:r>
        <w:rPr>
          <w:rFonts w:eastAsia="Times New Roman" w:ascii="Times New Roman" w:hAnsi="Times New Roman"/>
        </w:rPr>
      </w:r>
    </w:p>
    <w:p>
      <w:pPr>
        <w:pStyle w:val="Normal"/>
        <w:spacing w:lineRule="auto" w:line="254"/>
        <w:jc w:val="both"/>
        <w:rPr>
          <w:rFonts w:ascii="Times New Roman" w:hAnsi="Times New Roman" w:eastAsia="Times New Roman"/>
        </w:rPr>
      </w:pPr>
      <w:r>
        <w:rPr>
          <w:rFonts w:eastAsia="Times New Roman" w:ascii="Times New Roman" w:hAnsi="Times New Roman"/>
        </w:rPr>
        <w:t xml:space="preserve">I hereby declare that I have reviewed the statistical analysis report and agree to its form and content. In addition, I confirm that the outlined statistical analysis report contains all relevant information of the data analysis, performed in the document </w:t>
      </w:r>
      <w:r>
        <w:rPr>
          <w:rFonts w:eastAsia="Times New Roman" w:ascii="Times New Roman" w:hAnsi="Times New Roman"/>
          <w:b/>
        </w:rPr>
        <w:t>C-03</w:t>
      </w:r>
      <w:r>
        <w:rPr>
          <w:rFonts w:eastAsia="Times New Roman" w:ascii="Times New Roman" w:hAnsi="Times New Roman"/>
        </w:rPr>
        <w:t xml:space="preserve"> study by the Biostatistics Department.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75"/>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rPr>
      </w:pPr>
      <w:r>
        <w:rPr>
          <w:rFonts w:eastAsia="Times New Roman" w:ascii="Times New Roman" w:hAnsi="Times New Roman"/>
        </w:rPr>
        <w:t>Represented by:</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71"/>
        <w:rPr>
          <w:rFonts w:ascii="Times New Roman" w:hAnsi="Times New Roman" w:eastAsia="Times New Roman"/>
        </w:rPr>
      </w:pPr>
      <w:r>
        <w:rPr>
          <w:rFonts w:eastAsia="Times New Roman" w:ascii="Times New Roman" w:hAnsi="Times New Roman"/>
        </w:rPr>
      </w:r>
    </w:p>
    <w:p>
      <w:pPr>
        <w:pStyle w:val="Normal"/>
        <w:tabs>
          <w:tab w:val="clear" w:pos="720"/>
          <w:tab w:val="left" w:pos="7180" w:leader="none"/>
        </w:tabs>
        <w:spacing w:lineRule="auto"/>
        <w:rPr>
          <w:rFonts w:ascii="Times New Roman" w:hAnsi="Times New Roman" w:eastAsia="Times New Roman"/>
        </w:rPr>
      </w:pPr>
      <w:r>
        <w:rPr>
          <w:rFonts w:eastAsia="Times New Roman" w:ascii="Times New Roman" w:hAnsi="Times New Roman"/>
        </w:rPr>
        <w:t>________________________________________</w:t>
        <w:tab/>
        <w:t>_______________</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7860" w:hanging="0"/>
        <w:rPr>
          <w:rFonts w:ascii="Times New Roman" w:hAnsi="Times New Roman" w:eastAsia="Times New Roman"/>
        </w:rPr>
      </w:pPr>
      <w:r>
        <w:rPr>
          <w:rFonts w:eastAsia="Times New Roman" w:ascii="Times New Roman" w:hAnsi="Times New Roman"/>
        </w:rPr>
        <w:t>Date</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6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rPr>
      </w:pPr>
      <w:r>
        <w:rPr>
          <w:rFonts w:eastAsia="Times New Roman" w:ascii="Times New Roman" w:hAnsi="Times New Roman"/>
          <w:b/>
        </w:rPr>
        <w:t>Sponsor:</w:t>
      </w:r>
    </w:p>
    <w:p>
      <w:pPr>
        <w:pStyle w:val="Normal"/>
        <w:spacing w:lineRule="exact" w:line="11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rPr>
      </w:pPr>
      <w:r>
        <w:rPr/>
      </w:r>
    </w:p>
    <w:p>
      <w:pPr>
        <w:sectPr>
          <w:type w:val="nextPage"/>
          <w:pgSz w:w="11906" w:h="16838"/>
          <w:pgMar w:left="1080" w:right="1086" w:header="0" w:top="0" w:footer="0" w:bottom="0"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continuous"/>
          <w:pgSz w:w="11906" w:h="16838"/>
          <w:pgMar w:left="1080" w:right="1086" w:header="0" w:top="0" w:footer="0" w:bottom="0" w:gutter="0"/>
          <w:formProt w:val="false"/>
          <w:textDirection w:val="lrTb"/>
          <w:docGrid w:type="default" w:linePitch="360" w:charSpace="0"/>
        </w:sectPr>
        <w:pStyle w:val="Normal"/>
        <w:spacing w:lineRule="auto" w:line="259" w:before="0" w:after="160"/>
        <w:rPr>
          <w:rFonts w:ascii="Times New Roman" w:hAnsi="Times New Roman" w:eastAsia="Times New Roman"/>
        </w:rPr>
      </w:pPr>
      <w:r>
        <w:rPr>
          <w:rFonts w:eastAsia="Times New Roman" w:ascii="Times New Roman" w:hAnsi="Times New Roman"/>
        </w:rPr>
      </w:r>
    </w:p>
    <w:p>
      <w:pPr>
        <w:pStyle w:val="Normal"/>
        <w:spacing w:lineRule="exact" w:line="346"/>
        <w:rPr>
          <w:rFonts w:ascii="Times New Roman" w:hAnsi="Times New Roman" w:eastAsia="Times New Roman"/>
        </w:rPr>
      </w:pPr>
      <w:r>
        <w:rPr>
          <w:rFonts w:eastAsia="Times New Roman" w:ascii="Times New Roman" w:hAnsi="Times New Roman"/>
        </w:rPr>
      </w:r>
    </w:p>
    <w:p>
      <w:pPr>
        <w:pStyle w:val="Normal"/>
        <w:spacing w:lineRule="auto"/>
        <w:ind w:left="3580" w:hanging="0"/>
        <w:rPr>
          <w:rFonts w:ascii="Times New Roman" w:hAnsi="Times New Roman" w:eastAsia="Times New Roman"/>
          <w:b/>
          <w:b/>
          <w:sz w:val="24"/>
          <w:u w:val="single"/>
        </w:rPr>
      </w:pPr>
      <w:r>
        <w:rPr>
          <w:rFonts w:eastAsia="Times New Roman" w:ascii="Times New Roman" w:hAnsi="Times New Roman"/>
          <w:b/>
          <w:sz w:val="24"/>
          <w:u w:val="single"/>
        </w:rPr>
        <w:t>TABLE OF CONTENTS</w:t>
      </w:r>
    </w:p>
    <w:p>
      <w:pPr>
        <w:pStyle w:val="Normal"/>
        <w:spacing w:lineRule="auto"/>
        <w:rPr>
          <w:rFonts w:ascii="Times New Roman" w:hAnsi="Times New Roman" w:eastAsia="Times New Roman"/>
          <w:sz w:val="19"/>
        </w:rPr>
      </w:pPr>
      <w:r>
        <w:rPr>
          <w:rFonts w:eastAsia="Times New Roman" w:ascii="Times New Roman" w:hAnsi="Times New Roman"/>
          <w:sz w:val="19"/>
        </w:rPr>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lang w:val="en-IN" w:eastAsia="en-IN"/>
            </w:rPr>
          </w:pPr>
          <w:r>
            <w:fldChar w:fldCharType="begin"/>
          </w:r>
          <w:r>
            <w:rPr>
              <w:webHidden/>
              <w:rStyle w:val="IndexLink"/>
            </w:rPr>
            <w:instrText> TOC \z \t "Heading 2,1" \h</w:instrText>
          </w:r>
          <w:r>
            <w:rPr>
              <w:webHidden/>
              <w:rStyle w:val="IndexLink"/>
            </w:rPr>
            <w:fldChar w:fldCharType="separate"/>
          </w:r>
          <w:hyperlink w:anchor="_Toc1055338">
            <w:r>
              <w:rPr>
                <w:webHidden/>
                <w:rStyle w:val="IndexLink"/>
              </w:rPr>
              <w:t>Table 14.1.2.1</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Subject Demographics at Baseline ITT Population (N=49)</w:t>
            </w:r>
            <w:r>
              <w:rPr>
                <w:webHidden/>
              </w:rPr>
              <w:fldChar w:fldCharType="begin"/>
            </w:r>
            <w:r>
              <w:rPr>
                <w:webHidden/>
              </w:rPr>
              <w:instrText>PAGEREF _Toc1055338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39">
            <w:r>
              <w:rPr>
                <w:webHidden/>
                <w:rStyle w:val="IndexLink"/>
              </w:rPr>
              <w:t>Table 14.1.2.2</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Medical and Surgical History ITT Population (N=49)</w:t>
            </w:r>
            <w:r>
              <w:rPr>
                <w:webHidden/>
              </w:rPr>
              <w:fldChar w:fldCharType="begin"/>
            </w:r>
            <w:r>
              <w:rPr>
                <w:webHidden/>
              </w:rPr>
              <w:instrText>PAGEREF _Toc1055339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40">
            <w:r>
              <w:rPr>
                <w:webHidden/>
                <w:rStyle w:val="IndexLink"/>
              </w:rPr>
              <w:t>Table 14.1.2.3</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Heart Failure History at Visit 1 ITT Population (N=49)</w:t>
            </w:r>
            <w:r>
              <w:rPr>
                <w:webHidden/>
              </w:rPr>
              <w:fldChar w:fldCharType="begin"/>
            </w:r>
            <w:r>
              <w:rPr>
                <w:webHidden/>
              </w:rPr>
              <w:instrText>PAGEREF _Toc1055340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41">
            <w:r>
              <w:rPr>
                <w:webHidden/>
                <w:rStyle w:val="IndexLink"/>
              </w:rPr>
              <w:t>Table 14.1.2.4</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Duration of HF (Years) - ITT Population (N=49)</w:t>
            </w:r>
            <w:r>
              <w:rPr>
                <w:webHidden/>
              </w:rPr>
              <w:fldChar w:fldCharType="begin"/>
            </w:r>
            <w:r>
              <w:rPr>
                <w:webHidden/>
              </w:rPr>
              <w:instrText>PAGEREF _Toc1055341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42">
            <w:r>
              <w:rPr>
                <w:webHidden/>
                <w:rStyle w:val="IndexLink"/>
              </w:rPr>
              <w:t>Table 14.1.2.5</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QRS with VNS off - ITT Population (N=49)</w:t>
            </w:r>
            <w:r>
              <w:rPr>
                <w:webHidden/>
              </w:rPr>
              <w:fldChar w:fldCharType="begin"/>
            </w:r>
            <w:r>
              <w:rPr>
                <w:webHidden/>
              </w:rPr>
              <w:instrText>PAGEREF _Toc1055342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43">
            <w:r>
              <w:rPr>
                <w:webHidden/>
                <w:rStyle w:val="IndexLink"/>
              </w:rPr>
              <w:t>Table 14.1.2.6</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Output Current for all the Visits at Entry(N=49)</w:t>
            </w:r>
            <w:r>
              <w:rPr>
                <w:webHidden/>
              </w:rPr>
              <w:fldChar w:fldCharType="begin"/>
            </w:r>
            <w:r>
              <w:rPr>
                <w:webHidden/>
              </w:rPr>
              <w:instrText>PAGEREF _Toc1055343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44">
            <w:r>
              <w:rPr>
                <w:webHidden/>
                <w:rStyle w:val="IndexLink"/>
              </w:rPr>
              <w:t>Table 14.2.1.1</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LVESV and EF at each Visit (core lab data)-ITT Population (N=49)</w:t>
            </w:r>
            <w:r>
              <w:rPr>
                <w:webHidden/>
              </w:rPr>
              <w:fldChar w:fldCharType="begin"/>
            </w:r>
            <w:r>
              <w:rPr>
                <w:webHidden/>
              </w:rPr>
              <w:instrText>PAGEREF _Toc1055344 \h</w:instrText>
            </w:r>
            <w:r>
              <w:rPr>
                <w:webHidden/>
              </w:rPr>
              <w:fldChar w:fldCharType="separate"/>
            </w:r>
            <w:r>
              <w:rPr>
                <w:rStyle w:val="IndexLink"/>
                <w:vanish w:val="false"/>
              </w:rPr>
              <w:tab/>
              <w:t>20</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45">
            <w:r>
              <w:rPr>
                <w:webHidden/>
                <w:rStyle w:val="IndexLink"/>
              </w:rPr>
              <w:t>Table 14.2.1.2</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Change in LVESV from Baseline (Core lab data)-ITT Population (N=49)</w:t>
            </w:r>
            <w:r>
              <w:rPr>
                <w:webHidden/>
              </w:rPr>
              <w:fldChar w:fldCharType="begin"/>
            </w:r>
            <w:r>
              <w:rPr>
                <w:webHidden/>
              </w:rPr>
              <w:instrText>PAGEREF _Toc1055345 \h</w:instrText>
            </w:r>
            <w:r>
              <w:rPr>
                <w:webHidden/>
              </w:rPr>
              <w:fldChar w:fldCharType="separate"/>
            </w:r>
            <w:r>
              <w:rPr>
                <w:rStyle w:val="IndexLink"/>
                <w:vanish w:val="false"/>
              </w:rPr>
              <w:tab/>
              <w:t>24</w:t>
            </w:r>
            <w:r>
              <w:rPr>
                <w:webHidden/>
              </w:rPr>
              <w:fldChar w:fldCharType="end"/>
            </w:r>
          </w:hyperlink>
        </w:p>
        <w:p>
          <w:pPr>
            <w:pStyle w:val="Contents1"/>
            <w:ind w:left="1755" w:hanging="1755"/>
            <w:rPr>
              <w:rFonts w:ascii="Calibri" w:hAnsi="Calibri" w:eastAsia="" w:cs="" w:asciiTheme="minorHAnsi" w:cstheme="minorBidi" w:eastAsiaTheme="minorEastAsia" w:hAnsiTheme="minorHAnsi"/>
              <w:sz w:val="22"/>
              <w:szCs w:val="22"/>
              <w:lang w:val="en-IN" w:eastAsia="en-IN"/>
            </w:rPr>
          </w:pPr>
          <w:hyperlink w:anchor="_Toc1055346">
            <w:r>
              <w:rPr>
                <w:webHidden/>
                <w:rStyle w:val="IndexLink"/>
              </w:rPr>
              <w:t>Table 14.2.1.2c_a</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Change in LVESV from Baseline (Core lab data) (Pooled Analysis)-ITT Population -(N=49)</w:t>
            </w:r>
            <w:r>
              <w:rPr>
                <w:webHidden/>
              </w:rPr>
              <w:fldChar w:fldCharType="begin"/>
            </w:r>
            <w:r>
              <w:rPr>
                <w:webHidden/>
              </w:rPr>
              <w:instrText>PAGEREF _Toc1055346 \h</w:instrText>
            </w:r>
            <w:r>
              <w:rPr>
                <w:webHidden/>
              </w:rPr>
              <w:fldChar w:fldCharType="separate"/>
            </w:r>
            <w:r>
              <w:rPr>
                <w:rStyle w:val="IndexLink"/>
                <w:vanish w:val="false"/>
              </w:rPr>
              <w:tab/>
              <w:t>28</w:t>
            </w:r>
            <w:r>
              <w:rPr>
                <w:webHidden/>
              </w:rPr>
              <w:fldChar w:fldCharType="end"/>
            </w:r>
          </w:hyperlink>
        </w:p>
        <w:p>
          <w:pPr>
            <w:pStyle w:val="Contents1"/>
            <w:ind w:left="1755" w:hanging="1755"/>
            <w:rPr/>
          </w:pPr>
          <w:hyperlink w:anchor="_Toc1055347">
            <w:r>
              <w:rPr>
                <w:webHidden/>
                <w:rStyle w:val="IndexLink"/>
              </w:rPr>
              <w:t>Table 14.2.1.3c</w:t>
              <w:tab/>
              <w:t xml:space="preserve"> Summary of Change in in Ejection Fraction (EF) from Baseline (Core Lab data)-ITT Population(N=49)</w:t>
            </w:r>
            <w:r>
              <w:rPr>
                <w:webHidden/>
              </w:rPr>
              <w:fldChar w:fldCharType="begin"/>
            </w:r>
            <w:r>
              <w:rPr>
                <w:webHidden/>
              </w:rPr>
              <w:instrText>PAGEREF _Toc1055347 \h</w:instrText>
            </w:r>
            <w:r>
              <w:rPr>
                <w:webHidden/>
              </w:rPr>
              <w:fldChar w:fldCharType="separate"/>
            </w:r>
            <w:r>
              <w:rPr>
                <w:rStyle w:val="IndexLink"/>
                <w:vanish w:val="false"/>
              </w:rPr>
              <w:tab/>
              <w:t>32</w:t>
            </w:r>
            <w:r>
              <w:rPr>
                <w:webHidden/>
              </w:rPr>
              <w:fldChar w:fldCharType="end"/>
            </w:r>
          </w:hyperlink>
        </w:p>
        <w:p>
          <w:pPr>
            <w:pStyle w:val="Contents1"/>
            <w:ind w:left="1755" w:hanging="1755"/>
            <w:rPr/>
          </w:pPr>
          <w:hyperlink w:anchor="_Toc1055348">
            <w:r>
              <w:rPr>
                <w:webHidden/>
                <w:rStyle w:val="IndexLink"/>
              </w:rPr>
              <w:t>Table 14.2.1.3c_a</w:t>
              <w:tab/>
              <w:t xml:space="preserve"> Summary of Change in Ejection Fraction (EF) from Baseline (Core Lab data) (Pooled Analysis) -IIT Population -(N=49)</w:t>
            </w:r>
            <w:r>
              <w:rPr>
                <w:webHidden/>
              </w:rPr>
              <w:fldChar w:fldCharType="begin"/>
            </w:r>
            <w:r>
              <w:rPr>
                <w:webHidden/>
              </w:rPr>
              <w:instrText>PAGEREF _Toc1055348 \h</w:instrText>
            </w:r>
            <w:r>
              <w:rPr>
                <w:webHidden/>
              </w:rPr>
              <w:fldChar w:fldCharType="separate"/>
            </w:r>
            <w:r>
              <w:rPr>
                <w:rStyle w:val="IndexLink"/>
                <w:vanish w:val="false"/>
              </w:rPr>
              <w:tab/>
              <w:t>36</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49">
            <w:r>
              <w:rPr>
                <w:webHidden/>
                <w:rStyle w:val="IndexLink"/>
              </w:rPr>
              <w:t>Table 14.2.2.1c</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Left Ventricular End Systolic Dimensions (cm) (LVESD) (Core lab data)-ITT Population(N=49)</w:t>
            </w:r>
            <w:r>
              <w:rPr>
                <w:webHidden/>
              </w:rPr>
              <w:fldChar w:fldCharType="begin"/>
            </w:r>
            <w:r>
              <w:rPr>
                <w:webHidden/>
              </w:rPr>
              <w:instrText>PAGEREF _Toc1055349 \h</w:instrText>
            </w:r>
            <w:r>
              <w:rPr>
                <w:webHidden/>
              </w:rPr>
              <w:fldChar w:fldCharType="separate"/>
            </w:r>
            <w:r>
              <w:rPr>
                <w:rStyle w:val="IndexLink"/>
                <w:vanish w:val="false"/>
              </w:rPr>
              <w:tab/>
              <w:t>39</w:t>
            </w:r>
            <w:r>
              <w:rPr>
                <w:webHidden/>
              </w:rPr>
              <w:fldChar w:fldCharType="end"/>
            </w:r>
          </w:hyperlink>
        </w:p>
        <w:p>
          <w:pPr>
            <w:pStyle w:val="Contents1"/>
            <w:ind w:left="1755" w:hanging="1755"/>
            <w:rPr/>
          </w:pPr>
          <w:hyperlink w:anchor="_Toc1055350">
            <w:r>
              <w:rPr>
                <w:webHidden/>
                <w:rStyle w:val="IndexLink"/>
              </w:rPr>
              <w:t>Table 14.2.2.2c</w:t>
              <w:tab/>
              <w:t xml:space="preserve"> Summary of Change in LVESD from Baseline-(Core lab data) -ITT Population(N=49)</w:t>
            </w:r>
            <w:r>
              <w:rPr>
                <w:webHidden/>
              </w:rPr>
              <w:fldChar w:fldCharType="begin"/>
            </w:r>
            <w:r>
              <w:rPr>
                <w:webHidden/>
              </w:rPr>
              <w:instrText>PAGEREF _Toc1055350 \h</w:instrText>
            </w:r>
            <w:r>
              <w:rPr>
                <w:webHidden/>
              </w:rPr>
              <w:fldChar w:fldCharType="separate"/>
            </w:r>
            <w:r>
              <w:rPr>
                <w:rStyle w:val="IndexLink"/>
                <w:vanish w:val="false"/>
              </w:rPr>
              <w:tab/>
              <w:t>41</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51">
            <w:r>
              <w:rPr>
                <w:webHidden/>
                <w:rStyle w:val="IndexLink"/>
              </w:rPr>
              <w:t>Table 14.2.2.2c_a</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LVESD (Pooled Analysis (Core Lab data)) -IIT Population -(N=49)</w:t>
            </w:r>
            <w:r>
              <w:rPr>
                <w:webHidden/>
              </w:rPr>
              <w:fldChar w:fldCharType="begin"/>
            </w:r>
            <w:r>
              <w:rPr>
                <w:webHidden/>
              </w:rPr>
              <w:instrText>PAGEREF _Toc1055351 \h</w:instrText>
            </w:r>
            <w:r>
              <w:rPr>
                <w:webHidden/>
              </w:rPr>
              <w:fldChar w:fldCharType="separate"/>
            </w:r>
            <w:r>
              <w:rPr>
                <w:rStyle w:val="IndexLink"/>
                <w:vanish w:val="false"/>
              </w:rPr>
              <w:tab/>
              <w:t>45</w:t>
            </w:r>
            <w:r>
              <w:rPr>
                <w:webHidden/>
              </w:rPr>
              <w:fldChar w:fldCharType="end"/>
            </w:r>
          </w:hyperlink>
        </w:p>
        <w:p>
          <w:pPr>
            <w:pStyle w:val="Contents1"/>
            <w:ind w:left="1755" w:hanging="1755"/>
            <w:rPr/>
          </w:pPr>
          <w:hyperlink w:anchor="_Toc1055352">
            <w:r>
              <w:rPr>
                <w:webHidden/>
                <w:rStyle w:val="IndexLink"/>
              </w:rPr>
              <w:t>Table 14.2.2.3.4</w:t>
              <w:tab/>
              <w:t xml:space="preserve"> Summary of 6 Minute Walk for the Distance Covered -ITT Population (N=49)</w:t>
            </w:r>
            <w:r>
              <w:rPr>
                <w:webHidden/>
              </w:rPr>
              <w:fldChar w:fldCharType="begin"/>
            </w:r>
            <w:r>
              <w:rPr>
                <w:webHidden/>
              </w:rPr>
              <w:instrText>PAGEREF _Toc1055352 \h</w:instrText>
            </w:r>
            <w:r>
              <w:rPr>
                <w:webHidden/>
              </w:rPr>
              <w:fldChar w:fldCharType="separate"/>
            </w:r>
            <w:r>
              <w:rPr>
                <w:rStyle w:val="IndexLink"/>
                <w:vanish w:val="false"/>
              </w:rPr>
              <w:tab/>
              <w:t>48</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53">
            <w:r>
              <w:rPr>
                <w:webHidden/>
                <w:rStyle w:val="IndexLink"/>
              </w:rPr>
              <w:t>Table14.2.2.3.4-a</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Change in 6 Minute Walk for the Distance Covered - ITT Population (N=49)</w:t>
            </w:r>
            <w:r>
              <w:rPr>
                <w:webHidden/>
              </w:rPr>
              <w:fldChar w:fldCharType="begin"/>
            </w:r>
            <w:r>
              <w:rPr>
                <w:webHidden/>
              </w:rPr>
              <w:instrText>PAGEREF _Toc1055353 \h</w:instrText>
            </w:r>
            <w:r>
              <w:rPr>
                <w:webHidden/>
              </w:rPr>
              <w:fldChar w:fldCharType="separate"/>
            </w:r>
            <w:r>
              <w:rPr>
                <w:rStyle w:val="IndexLink"/>
                <w:vanish w:val="false"/>
              </w:rPr>
              <w:tab/>
              <w:t>52</w:t>
            </w:r>
            <w:r>
              <w:rPr>
                <w:webHidden/>
              </w:rPr>
              <w:fldChar w:fldCharType="end"/>
            </w:r>
          </w:hyperlink>
        </w:p>
        <w:p>
          <w:pPr>
            <w:pStyle w:val="Contents1"/>
            <w:ind w:left="1755" w:hanging="1755"/>
            <w:rPr/>
          </w:pPr>
          <w:hyperlink w:anchor="_Toc1055354">
            <w:r>
              <w:rPr>
                <w:webHidden/>
                <w:rStyle w:val="IndexLink"/>
              </w:rPr>
              <w:t>Table 14.2.2.3.4-b</w:t>
              <w:tab/>
              <w:t xml:space="preserve"> Summary of Change in 6 Minute Walk for the Distance Covered (Pooled Analysis) - ITT Population (N=49)</w:t>
            </w:r>
            <w:r>
              <w:rPr>
                <w:webHidden/>
              </w:rPr>
              <w:fldChar w:fldCharType="begin"/>
            </w:r>
            <w:r>
              <w:rPr>
                <w:webHidden/>
              </w:rPr>
              <w:instrText>PAGEREF _Toc1055354 \h</w:instrText>
            </w:r>
            <w:r>
              <w:rPr>
                <w:webHidden/>
              </w:rPr>
              <w:fldChar w:fldCharType="separate"/>
            </w:r>
            <w:r>
              <w:rPr>
                <w:rStyle w:val="IndexLink"/>
                <w:vanish w:val="false"/>
              </w:rPr>
              <w:tab/>
              <w:t>56</w:t>
            </w:r>
            <w:r>
              <w:rPr>
                <w:webHidden/>
              </w:rPr>
              <w:fldChar w:fldCharType="end"/>
            </w:r>
          </w:hyperlink>
        </w:p>
        <w:p>
          <w:pPr>
            <w:pStyle w:val="Contents1"/>
            <w:ind w:left="1755" w:hanging="1755"/>
            <w:rPr/>
          </w:pPr>
          <w:hyperlink w:anchor="_Toc1055355">
            <w:r>
              <w:rPr>
                <w:webHidden/>
                <w:rStyle w:val="IndexLink"/>
              </w:rPr>
              <w:t>Table 14.2.2.4</w:t>
              <w:tab/>
              <w:t xml:space="preserve"> Summary of Minnesota Living with Heart Failure (QOL) Questionnaire (Overall) -ITT Population (N=49)</w:t>
            </w:r>
            <w:r>
              <w:rPr>
                <w:webHidden/>
              </w:rPr>
              <w:fldChar w:fldCharType="begin"/>
            </w:r>
            <w:r>
              <w:rPr>
                <w:webHidden/>
              </w:rPr>
              <w:instrText>PAGEREF _Toc1055355 \h</w:instrText>
            </w:r>
            <w:r>
              <w:rPr>
                <w:webHidden/>
              </w:rPr>
              <w:fldChar w:fldCharType="separate"/>
            </w:r>
            <w:r>
              <w:rPr>
                <w:rStyle w:val="IndexLink"/>
                <w:vanish w:val="false"/>
              </w:rPr>
              <w:tab/>
              <w:t>59</w:t>
            </w:r>
            <w:r>
              <w:rPr>
                <w:webHidden/>
              </w:rPr>
              <w:fldChar w:fldCharType="end"/>
            </w:r>
          </w:hyperlink>
        </w:p>
        <w:p>
          <w:pPr>
            <w:pStyle w:val="Contents1"/>
            <w:ind w:left="1755" w:hanging="1755"/>
            <w:rPr/>
          </w:pPr>
          <w:hyperlink w:anchor="_Toc1055356">
            <w:r>
              <w:rPr>
                <w:webHidden/>
                <w:rStyle w:val="IndexLink"/>
              </w:rPr>
              <w:t>Table 14.2.2.4.1</w:t>
              <w:tab/>
              <w:t xml:space="preserve"> Summary of Minnesota Living with Heart Failure (QOL) Questionnaire (Physical Factors) -ITT Population (N=49)</w:t>
            </w:r>
            <w:r>
              <w:rPr>
                <w:webHidden/>
              </w:rPr>
              <w:fldChar w:fldCharType="begin"/>
            </w:r>
            <w:r>
              <w:rPr>
                <w:webHidden/>
              </w:rPr>
              <w:instrText>PAGEREF _Toc1055356 \h</w:instrText>
            </w:r>
            <w:r>
              <w:rPr>
                <w:webHidden/>
              </w:rPr>
              <w:fldChar w:fldCharType="separate"/>
            </w:r>
            <w:r>
              <w:rPr>
                <w:rStyle w:val="IndexLink"/>
                <w:vanish w:val="false"/>
              </w:rPr>
              <w:tab/>
              <w:t>62</w:t>
            </w:r>
            <w:r>
              <w:rPr>
                <w:webHidden/>
              </w:rPr>
              <w:fldChar w:fldCharType="end"/>
            </w:r>
          </w:hyperlink>
        </w:p>
        <w:p>
          <w:pPr>
            <w:pStyle w:val="Contents1"/>
            <w:ind w:left="1755" w:hanging="1755"/>
            <w:rPr/>
          </w:pPr>
          <w:hyperlink w:anchor="_Toc1055357">
            <w:r>
              <w:rPr>
                <w:webHidden/>
                <w:rStyle w:val="IndexLink"/>
              </w:rPr>
              <w:t>Table 14.2.2.4.2</w:t>
              <w:tab/>
              <w:t xml:space="preserve"> Summary of Minnesota Living with Heart Failure (QOL) Questionnaire (Emotional Factors) -ITT Population (N=49)</w:t>
            </w:r>
            <w:r>
              <w:rPr>
                <w:webHidden/>
              </w:rPr>
              <w:fldChar w:fldCharType="begin"/>
            </w:r>
            <w:r>
              <w:rPr>
                <w:webHidden/>
              </w:rPr>
              <w:instrText>PAGEREF _Toc1055357 \h</w:instrText>
            </w:r>
            <w:r>
              <w:rPr>
                <w:webHidden/>
              </w:rPr>
              <w:fldChar w:fldCharType="separate"/>
            </w:r>
            <w:r>
              <w:rPr>
                <w:rStyle w:val="IndexLink"/>
                <w:vanish w:val="false"/>
              </w:rPr>
              <w:tab/>
              <w:t>65</w:t>
            </w:r>
            <w:r>
              <w:rPr>
                <w:webHidden/>
              </w:rPr>
              <w:fldChar w:fldCharType="end"/>
            </w:r>
          </w:hyperlink>
        </w:p>
        <w:p>
          <w:pPr>
            <w:pStyle w:val="Contents1"/>
            <w:ind w:left="1755" w:hanging="1755"/>
            <w:rPr/>
          </w:pPr>
          <w:hyperlink w:anchor="_Toc1055358">
            <w:r>
              <w:rPr>
                <w:webHidden/>
                <w:rStyle w:val="IndexLink"/>
              </w:rPr>
              <w:t>Table 14.2.2.5</w:t>
              <w:tab/>
              <w:t xml:space="preserve"> Summary of Change in Minnesota Living with Heart Failure (QOL) Questionnaire from Baseline (Overall) -ITT Population (N=49)</w:t>
            </w:r>
            <w:r>
              <w:rPr>
                <w:webHidden/>
              </w:rPr>
              <w:fldChar w:fldCharType="begin"/>
            </w:r>
            <w:r>
              <w:rPr>
                <w:webHidden/>
              </w:rPr>
              <w:instrText>PAGEREF _Toc1055358 \h</w:instrText>
            </w:r>
            <w:r>
              <w:rPr>
                <w:webHidden/>
              </w:rPr>
              <w:fldChar w:fldCharType="separate"/>
            </w:r>
            <w:r>
              <w:rPr>
                <w:rStyle w:val="IndexLink"/>
                <w:vanish w:val="false"/>
              </w:rPr>
              <w:tab/>
              <w:t>68</w:t>
            </w:r>
            <w:r>
              <w:rPr>
                <w:webHidden/>
              </w:rPr>
              <w:fldChar w:fldCharType="end"/>
            </w:r>
          </w:hyperlink>
        </w:p>
        <w:p>
          <w:pPr>
            <w:pStyle w:val="Contents1"/>
            <w:ind w:left="1755" w:hanging="1755"/>
            <w:rPr/>
          </w:pPr>
          <w:hyperlink w:anchor="_Toc1055359">
            <w:r>
              <w:rPr>
                <w:webHidden/>
                <w:rStyle w:val="IndexLink"/>
              </w:rPr>
              <w:t>Table 14.2.2.5-a</w:t>
              <w:tab/>
              <w:t xml:space="preserve"> Summary of Change in Minnesota Living with Heart Failure (QOL) Questionnaire from Baseline (Overall) (Pooled Analysis) - ITT Population (N=49)</w:t>
            </w:r>
            <w:r>
              <w:rPr>
                <w:webHidden/>
              </w:rPr>
              <w:fldChar w:fldCharType="begin"/>
            </w:r>
            <w:r>
              <w:rPr>
                <w:webHidden/>
              </w:rPr>
              <w:instrText>PAGEREF _Toc1055359 \h</w:instrText>
            </w:r>
            <w:r>
              <w:rPr>
                <w:webHidden/>
              </w:rPr>
              <w:fldChar w:fldCharType="separate"/>
            </w:r>
            <w:r>
              <w:rPr>
                <w:rStyle w:val="IndexLink"/>
                <w:vanish w:val="false"/>
              </w:rPr>
              <w:tab/>
              <w:t>72</w:t>
            </w:r>
            <w:r>
              <w:rPr>
                <w:webHidden/>
              </w:rPr>
              <w:fldChar w:fldCharType="end"/>
            </w:r>
          </w:hyperlink>
        </w:p>
        <w:p>
          <w:pPr>
            <w:pStyle w:val="Contents1"/>
            <w:ind w:left="1755" w:hanging="1755"/>
            <w:rPr/>
          </w:pPr>
          <w:hyperlink w:anchor="_Toc1055360">
            <w:r>
              <w:rPr>
                <w:webHidden/>
                <w:rStyle w:val="IndexLink"/>
              </w:rPr>
              <w:t>Table 14.2.2.5-b</w:t>
              <w:tab/>
              <w:t xml:space="preserve"> Summary of Change in Minnesota Living with Heart Failure (QOL) Questionnaire from Baseline (Physical Factors) (Pooled Analysis) - ITT Population (N=49)</w:t>
            </w:r>
            <w:r>
              <w:rPr>
                <w:webHidden/>
              </w:rPr>
              <w:fldChar w:fldCharType="begin"/>
            </w:r>
            <w:r>
              <w:rPr>
                <w:webHidden/>
              </w:rPr>
              <w:instrText>PAGEREF _Toc1055360 \h</w:instrText>
            </w:r>
            <w:r>
              <w:rPr>
                <w:webHidden/>
              </w:rPr>
              <w:fldChar w:fldCharType="separate"/>
            </w:r>
            <w:r>
              <w:rPr>
                <w:rStyle w:val="IndexLink"/>
                <w:vanish w:val="false"/>
              </w:rPr>
              <w:tab/>
              <w:t>75</w:t>
            </w:r>
            <w:r>
              <w:rPr>
                <w:webHidden/>
              </w:rPr>
              <w:fldChar w:fldCharType="end"/>
            </w:r>
          </w:hyperlink>
        </w:p>
        <w:p>
          <w:pPr>
            <w:pStyle w:val="Contents1"/>
            <w:ind w:left="1755" w:hanging="1755"/>
            <w:rPr/>
          </w:pPr>
          <w:hyperlink w:anchor="_Toc1055361">
            <w:r>
              <w:rPr>
                <w:webHidden/>
                <w:rStyle w:val="IndexLink"/>
              </w:rPr>
              <w:t>Table 14.2.2.5-c</w:t>
              <w:tab/>
              <w:t xml:space="preserve"> Summary of Change in Minnesota Living with Heart Failure (QOL) Questionnaire from Baseline (Emotional Factors) (Pooled Analysis) - ITT Population (N=49)</w:t>
            </w:r>
            <w:r>
              <w:rPr>
                <w:webHidden/>
              </w:rPr>
              <w:fldChar w:fldCharType="begin"/>
            </w:r>
            <w:r>
              <w:rPr>
                <w:webHidden/>
              </w:rPr>
              <w:instrText>PAGEREF _Toc1055361 \h</w:instrText>
            </w:r>
            <w:r>
              <w:rPr>
                <w:webHidden/>
              </w:rPr>
              <w:fldChar w:fldCharType="separate"/>
            </w:r>
            <w:r>
              <w:rPr>
                <w:rStyle w:val="IndexLink"/>
                <w:vanish w:val="false"/>
              </w:rPr>
              <w:tab/>
              <w:t>78</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62">
            <w:r>
              <w:rPr>
                <w:webHidden/>
                <w:rStyle w:val="IndexLink"/>
              </w:rPr>
              <w:t>Table 14.2.2.6</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NYHA Class-ITT Population (N=49)</w:t>
            </w:r>
            <w:r>
              <w:rPr>
                <w:webHidden/>
              </w:rPr>
              <w:fldChar w:fldCharType="begin"/>
            </w:r>
            <w:r>
              <w:rPr>
                <w:webHidden/>
              </w:rPr>
              <w:instrText>PAGEREF _Toc1055362 \h</w:instrText>
            </w:r>
            <w:r>
              <w:rPr>
                <w:webHidden/>
              </w:rPr>
              <w:fldChar w:fldCharType="separate"/>
            </w:r>
            <w:r>
              <w:rPr>
                <w:rStyle w:val="IndexLink"/>
                <w:vanish w:val="false"/>
              </w:rPr>
              <w:tab/>
              <w:t>81</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63">
            <w:r>
              <w:rPr>
                <w:webHidden/>
                <w:rStyle w:val="IndexLink"/>
              </w:rPr>
              <w:t>Table 14.2.2.7</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NYHA Class-ITT Population (N=49)</w:t>
            </w:r>
            <w:r>
              <w:rPr>
                <w:webHidden/>
              </w:rPr>
              <w:fldChar w:fldCharType="begin"/>
            </w:r>
            <w:r>
              <w:rPr>
                <w:webHidden/>
              </w:rPr>
              <w:instrText>PAGEREF _Toc1055363 \h</w:instrText>
            </w:r>
            <w:r>
              <w:rPr>
                <w:webHidden/>
              </w:rPr>
              <w:fldChar w:fldCharType="separate"/>
            </w:r>
            <w:r>
              <w:rPr>
                <w:rStyle w:val="IndexLink"/>
                <w:vanish w:val="false"/>
              </w:rPr>
              <w:tab/>
              <w:t>82</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64">
            <w:r>
              <w:rPr>
                <w:webHidden/>
                <w:rStyle w:val="IndexLink"/>
              </w:rPr>
              <w:t>Table 14.2.2.8d</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Heart Rate by Holter ECG (Average HR-24 Hour (bpm))- ITT Population(N=49)</w:t>
            </w:r>
            <w:r>
              <w:rPr>
                <w:webHidden/>
              </w:rPr>
              <w:fldChar w:fldCharType="begin"/>
            </w:r>
            <w:r>
              <w:rPr>
                <w:webHidden/>
              </w:rPr>
              <w:instrText>PAGEREF _Toc1055364 \h</w:instrText>
            </w:r>
            <w:r>
              <w:rPr>
                <w:webHidden/>
              </w:rPr>
              <w:fldChar w:fldCharType="separate"/>
            </w:r>
            <w:r>
              <w:rPr>
                <w:rStyle w:val="IndexLink"/>
                <w:vanish w:val="false"/>
              </w:rPr>
              <w:tab/>
              <w:t>84</w:t>
            </w:r>
            <w:r>
              <w:rPr>
                <w:webHidden/>
              </w:rPr>
              <w:fldChar w:fldCharType="end"/>
            </w:r>
          </w:hyperlink>
        </w:p>
        <w:p>
          <w:pPr>
            <w:pStyle w:val="Contents1"/>
            <w:ind w:left="1755" w:hanging="1755"/>
            <w:rPr/>
          </w:pPr>
          <w:hyperlink w:anchor="_Toc1055365">
            <w:r>
              <w:rPr>
                <w:webHidden/>
                <w:rStyle w:val="IndexLink"/>
              </w:rPr>
              <w:t>Table 14.2.2.9d</w:t>
              <w:tab/>
              <w:t xml:space="preserve"> Summary of Change in Heart Rate Variability Average HR-24 Hour (bpm) -ITT Population(N=49)</w:t>
            </w:r>
            <w:r>
              <w:rPr>
                <w:webHidden/>
              </w:rPr>
              <w:fldChar w:fldCharType="begin"/>
            </w:r>
            <w:r>
              <w:rPr>
                <w:webHidden/>
              </w:rPr>
              <w:instrText>PAGEREF _Toc1055365 \h</w:instrText>
            </w:r>
            <w:r>
              <w:rPr>
                <w:webHidden/>
              </w:rPr>
              <w:fldChar w:fldCharType="separate"/>
            </w:r>
            <w:r>
              <w:rPr>
                <w:rStyle w:val="IndexLink"/>
                <w:vanish w:val="false"/>
              </w:rPr>
              <w:tab/>
              <w:t>87</w:t>
            </w:r>
            <w:r>
              <w:rPr>
                <w:webHidden/>
              </w:rPr>
              <w:fldChar w:fldCharType="end"/>
            </w:r>
          </w:hyperlink>
        </w:p>
        <w:p>
          <w:pPr>
            <w:pStyle w:val="Contents1"/>
            <w:ind w:left="1755" w:hanging="1755"/>
            <w:rPr/>
          </w:pPr>
          <w:hyperlink w:anchor="_Toc1055366">
            <w:r>
              <w:rPr>
                <w:webHidden/>
                <w:rStyle w:val="IndexLink"/>
              </w:rPr>
              <w:t>Table 14.2.2.9d_a</w:t>
              <w:tab/>
              <w:t xml:space="preserve"> Summary of Change in Heart Rate by Holter ECG - Average HR-24 Hour (bpm)(Pooled Analysis) (N=49)</w:t>
            </w:r>
            <w:r>
              <w:rPr>
                <w:webHidden/>
              </w:rPr>
              <w:fldChar w:fldCharType="begin"/>
            </w:r>
            <w:r>
              <w:rPr>
                <w:webHidden/>
              </w:rPr>
              <w:instrText>PAGEREF _Toc1055366 \h</w:instrText>
            </w:r>
            <w:r>
              <w:rPr>
                <w:webHidden/>
              </w:rPr>
              <w:fldChar w:fldCharType="separate"/>
            </w:r>
            <w:r>
              <w:rPr>
                <w:rStyle w:val="IndexLink"/>
                <w:vanish w:val="false"/>
              </w:rPr>
              <w:tab/>
              <w:t>90</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67">
            <w:r>
              <w:rPr>
                <w:webHidden/>
                <w:rStyle w:val="IndexLink"/>
              </w:rPr>
              <w:t>Table 14.2.2.10</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Heart Rate Variability by Holter ECG (SDNN (ms)) at Each Visit(N=49)</w:t>
            </w:r>
            <w:r>
              <w:rPr>
                <w:webHidden/>
              </w:rPr>
              <w:fldChar w:fldCharType="begin"/>
            </w:r>
            <w:r>
              <w:rPr>
                <w:webHidden/>
              </w:rPr>
              <w:instrText>PAGEREF _Toc1055367 \h</w:instrText>
            </w:r>
            <w:r>
              <w:rPr>
                <w:webHidden/>
              </w:rPr>
              <w:fldChar w:fldCharType="separate"/>
            </w:r>
            <w:r>
              <w:rPr>
                <w:rStyle w:val="IndexLink"/>
                <w:vanish w:val="false"/>
              </w:rPr>
              <w:tab/>
              <w:t>93</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68">
            <w:r>
              <w:rPr>
                <w:webHidden/>
                <w:rStyle w:val="IndexLink"/>
              </w:rPr>
              <w:t>Table 14.2.2.11</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Change in Heart Rate variability SDNN (ms) -ITT Population (N=49)</w:t>
            </w:r>
            <w:r>
              <w:rPr>
                <w:webHidden/>
              </w:rPr>
              <w:fldChar w:fldCharType="begin"/>
            </w:r>
            <w:r>
              <w:rPr>
                <w:webHidden/>
              </w:rPr>
              <w:instrText>PAGEREF _Toc1055368 \h</w:instrText>
            </w:r>
            <w:r>
              <w:rPr>
                <w:webHidden/>
              </w:rPr>
              <w:fldChar w:fldCharType="separate"/>
            </w:r>
            <w:r>
              <w:rPr>
                <w:rStyle w:val="IndexLink"/>
                <w:vanish w:val="false"/>
              </w:rPr>
              <w:tab/>
              <w:t>95</w:t>
            </w:r>
            <w:r>
              <w:rPr>
                <w:webHidden/>
              </w:rPr>
              <w:fldChar w:fldCharType="end"/>
            </w:r>
          </w:hyperlink>
        </w:p>
        <w:p>
          <w:pPr>
            <w:pStyle w:val="Contents1"/>
            <w:ind w:left="1755" w:hanging="1755"/>
            <w:rPr/>
          </w:pPr>
          <w:hyperlink w:anchor="_Toc1055369">
            <w:r>
              <w:rPr>
                <w:webHidden/>
                <w:rStyle w:val="IndexLink"/>
              </w:rPr>
              <w:t>Table 14.2.2.11-a</w:t>
              <w:tab/>
              <w:t xml:space="preserve"> Summary of Change in Heart Rate variability (SDNN (ms)) (Pooled Analysis) -ITT Population (N=49)</w:t>
            </w:r>
            <w:r>
              <w:rPr>
                <w:webHidden/>
              </w:rPr>
              <w:fldChar w:fldCharType="begin"/>
            </w:r>
            <w:r>
              <w:rPr>
                <w:webHidden/>
              </w:rPr>
              <w:instrText>PAGEREF _Toc1055369 \h</w:instrText>
            </w:r>
            <w:r>
              <w:rPr>
                <w:webHidden/>
              </w:rPr>
              <w:fldChar w:fldCharType="separate"/>
            </w:r>
            <w:r>
              <w:rPr>
                <w:rStyle w:val="IndexLink"/>
                <w:vanish w:val="false"/>
              </w:rPr>
              <w:tab/>
              <w:t>99</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70">
            <w:r>
              <w:rPr>
                <w:webHidden/>
                <w:rStyle w:val="IndexLink"/>
              </w:rPr>
              <w:t>Table 14.3.2.1</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Adverse Events– Overall Summary (N=49)</w:t>
            </w:r>
            <w:r>
              <w:rPr>
                <w:webHidden/>
              </w:rPr>
              <w:fldChar w:fldCharType="begin"/>
            </w:r>
            <w:r>
              <w:rPr>
                <w:webHidden/>
              </w:rPr>
              <w:instrText>PAGEREF _Toc1055370 \h</w:instrText>
            </w:r>
            <w:r>
              <w:rPr>
                <w:webHidden/>
              </w:rPr>
              <w:fldChar w:fldCharType="separate"/>
            </w:r>
            <w:r>
              <w:rPr>
                <w:rStyle w:val="IndexLink"/>
                <w:vanish w:val="false"/>
              </w:rPr>
              <w:tab/>
              <w:t>103</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71">
            <w:r>
              <w:rPr>
                <w:webHidden/>
                <w:rStyle w:val="IndexLink"/>
              </w:rPr>
              <w:t>Table 14.3.2.2</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Adverse Events by SOC and Preferred Term - Safety Population (N=49)</w:t>
            </w:r>
            <w:r>
              <w:rPr>
                <w:webHidden/>
              </w:rPr>
              <w:fldChar w:fldCharType="begin"/>
            </w:r>
            <w:r>
              <w:rPr>
                <w:webHidden/>
              </w:rPr>
              <w:instrText>PAGEREF _Toc1055371 \h</w:instrText>
            </w:r>
            <w:r>
              <w:rPr>
                <w:webHidden/>
              </w:rPr>
              <w:fldChar w:fldCharType="separate"/>
            </w:r>
            <w:r>
              <w:rPr>
                <w:rStyle w:val="IndexLink"/>
                <w:vanish w:val="false"/>
              </w:rPr>
              <w:tab/>
              <w:t>104</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72">
            <w:r>
              <w:rPr>
                <w:webHidden/>
                <w:rStyle w:val="IndexLink"/>
              </w:rPr>
              <w:t>Table 14.3.2.3</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Adverse Events by Maximum Intensity - Safety Population (N=49)</w:t>
            </w:r>
            <w:r>
              <w:rPr>
                <w:webHidden/>
              </w:rPr>
              <w:fldChar w:fldCharType="begin"/>
            </w:r>
            <w:r>
              <w:rPr>
                <w:webHidden/>
              </w:rPr>
              <w:instrText>PAGEREF _Toc1055372 \h</w:instrText>
            </w:r>
            <w:r>
              <w:rPr>
                <w:webHidden/>
              </w:rPr>
              <w:fldChar w:fldCharType="separate"/>
            </w:r>
            <w:r>
              <w:rPr>
                <w:rStyle w:val="IndexLink"/>
                <w:vanish w:val="false"/>
              </w:rPr>
              <w:tab/>
              <w:t>109</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73">
            <w:r>
              <w:rPr>
                <w:webHidden/>
                <w:rStyle w:val="IndexLink"/>
              </w:rPr>
              <w:t>Table 14.3.2.4</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Adverse Events by Causality Relationship to Implant - Safety Population (N=49)</w:t>
            </w:r>
            <w:r>
              <w:rPr>
                <w:webHidden/>
              </w:rPr>
              <w:fldChar w:fldCharType="begin"/>
            </w:r>
            <w:r>
              <w:rPr>
                <w:webHidden/>
              </w:rPr>
              <w:instrText>PAGEREF _Toc1055373 \h</w:instrText>
            </w:r>
            <w:r>
              <w:rPr>
                <w:webHidden/>
              </w:rPr>
              <w:fldChar w:fldCharType="separate"/>
            </w:r>
            <w:r>
              <w:rPr>
                <w:rStyle w:val="IndexLink"/>
                <w:vanish w:val="false"/>
              </w:rPr>
              <w:tab/>
              <w:t>117</w:t>
            </w:r>
            <w:r>
              <w:rPr>
                <w:webHidden/>
              </w:rPr>
              <w:fldChar w:fldCharType="end"/>
            </w:r>
          </w:hyperlink>
        </w:p>
        <w:p>
          <w:pPr>
            <w:pStyle w:val="Contents1"/>
            <w:ind w:left="1755" w:hanging="1755"/>
            <w:rPr/>
          </w:pPr>
          <w:hyperlink w:anchor="_Toc1055374">
            <w:r>
              <w:rPr>
                <w:webHidden/>
                <w:rStyle w:val="IndexLink"/>
              </w:rPr>
              <w:t>Table 14.3.2.5</w:t>
              <w:tab/>
              <w:t xml:space="preserve"> Summary of Adverse Events by Causality Relationship to Stimulation - Safety Population (N=49)</w:t>
            </w:r>
            <w:r>
              <w:rPr>
                <w:webHidden/>
              </w:rPr>
              <w:fldChar w:fldCharType="begin"/>
            </w:r>
            <w:r>
              <w:rPr>
                <w:webHidden/>
              </w:rPr>
              <w:instrText>PAGEREF _Toc1055374 \h</w:instrText>
            </w:r>
            <w:r>
              <w:rPr>
                <w:webHidden/>
              </w:rPr>
              <w:fldChar w:fldCharType="separate"/>
            </w:r>
            <w:r>
              <w:rPr>
                <w:rStyle w:val="IndexLink"/>
                <w:vanish w:val="false"/>
              </w:rPr>
              <w:tab/>
              <w:t>126</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75">
            <w:r>
              <w:rPr>
                <w:webHidden/>
                <w:rStyle w:val="IndexLink"/>
              </w:rPr>
              <w:t>Table 14.3.2.6</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Adverse Events by Action Taken-Safety Population (N=49)</w:t>
            </w:r>
            <w:r>
              <w:rPr>
                <w:webHidden/>
              </w:rPr>
              <w:fldChar w:fldCharType="begin"/>
            </w:r>
            <w:r>
              <w:rPr>
                <w:webHidden/>
              </w:rPr>
              <w:instrText>PAGEREF _Toc1055375 \h</w:instrText>
            </w:r>
            <w:r>
              <w:rPr>
                <w:webHidden/>
              </w:rPr>
              <w:fldChar w:fldCharType="separate"/>
            </w:r>
            <w:r>
              <w:rPr>
                <w:rStyle w:val="IndexLink"/>
                <w:vanish w:val="false"/>
              </w:rPr>
              <w:tab/>
              <w:t>135</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76">
            <w:r>
              <w:rPr>
                <w:webHidden/>
                <w:rStyle w:val="IndexLink"/>
              </w:rPr>
              <w:t>Table 14.3.2.7</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Adverse Events by Frequency - Safety Population (N=49)</w:t>
            </w:r>
            <w:r>
              <w:rPr>
                <w:webHidden/>
              </w:rPr>
              <w:fldChar w:fldCharType="begin"/>
            </w:r>
            <w:r>
              <w:rPr>
                <w:webHidden/>
              </w:rPr>
              <w:instrText>PAGEREF _Toc1055376 \h</w:instrText>
            </w:r>
            <w:r>
              <w:rPr>
                <w:webHidden/>
              </w:rPr>
              <w:fldChar w:fldCharType="separate"/>
            </w:r>
            <w:r>
              <w:rPr>
                <w:rStyle w:val="IndexLink"/>
                <w:vanish w:val="false"/>
              </w:rPr>
              <w:tab/>
              <w:t>143</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77">
            <w:r>
              <w:rPr>
                <w:webHidden/>
                <w:rStyle w:val="IndexLink"/>
              </w:rPr>
              <w:t>Table 14.3.2.8</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Adverse Events by Outcome - Safety Population (N=49)</w:t>
            </w:r>
            <w:r>
              <w:rPr>
                <w:webHidden/>
              </w:rPr>
              <w:fldChar w:fldCharType="begin"/>
            </w:r>
            <w:r>
              <w:rPr>
                <w:webHidden/>
              </w:rPr>
              <w:instrText>PAGEREF _Toc1055377 \h</w:instrText>
            </w:r>
            <w:r>
              <w:rPr>
                <w:webHidden/>
              </w:rPr>
              <w:fldChar w:fldCharType="separate"/>
            </w:r>
            <w:r>
              <w:rPr>
                <w:rStyle w:val="IndexLink"/>
                <w:vanish w:val="false"/>
              </w:rPr>
              <w:tab/>
              <w:t>152</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78">
            <w:r>
              <w:rPr>
                <w:webHidden/>
                <w:rStyle w:val="IndexLink"/>
              </w:rPr>
              <w:t>Table 14.3.3</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Serious Adverse Events – Overall Summary Safety Population (N=49)</w:t>
            </w:r>
            <w:r>
              <w:rPr>
                <w:webHidden/>
              </w:rPr>
              <w:fldChar w:fldCharType="begin"/>
            </w:r>
            <w:r>
              <w:rPr>
                <w:webHidden/>
              </w:rPr>
              <w:instrText>PAGEREF _Toc1055378 \h</w:instrText>
            </w:r>
            <w:r>
              <w:rPr>
                <w:webHidden/>
              </w:rPr>
              <w:fldChar w:fldCharType="separate"/>
            </w:r>
            <w:r>
              <w:rPr>
                <w:rStyle w:val="IndexLink"/>
                <w:vanish w:val="false"/>
              </w:rPr>
              <w:tab/>
              <w:t>160</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79">
            <w:r>
              <w:rPr>
                <w:webHidden/>
                <w:rStyle w:val="IndexLink"/>
              </w:rPr>
              <w:t>Table 14.3.3.1</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Serious Adverse Events - Safety Population (N=49)</w:t>
            </w:r>
            <w:r>
              <w:rPr>
                <w:webHidden/>
              </w:rPr>
              <w:fldChar w:fldCharType="begin"/>
            </w:r>
            <w:r>
              <w:rPr>
                <w:webHidden/>
              </w:rPr>
              <w:instrText>PAGEREF _Toc1055379 \h</w:instrText>
            </w:r>
            <w:r>
              <w:rPr>
                <w:webHidden/>
              </w:rPr>
              <w:fldChar w:fldCharType="separate"/>
            </w:r>
            <w:r>
              <w:rPr>
                <w:rStyle w:val="IndexLink"/>
                <w:vanish w:val="false"/>
              </w:rPr>
              <w:tab/>
              <w:t>161</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80">
            <w:r>
              <w:rPr>
                <w:webHidden/>
                <w:rStyle w:val="IndexLink"/>
              </w:rPr>
              <w:t>Table 14.3.3.2</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Serious Adverse Events by Maximum Intensity - Safety Population (N=49)</w:t>
            </w:r>
            <w:r>
              <w:rPr>
                <w:webHidden/>
              </w:rPr>
              <w:fldChar w:fldCharType="begin"/>
            </w:r>
            <w:r>
              <w:rPr>
                <w:webHidden/>
              </w:rPr>
              <w:instrText>PAGEREF _Toc1055380 \h</w:instrText>
            </w:r>
            <w:r>
              <w:rPr>
                <w:webHidden/>
              </w:rPr>
              <w:fldChar w:fldCharType="separate"/>
            </w:r>
            <w:r>
              <w:rPr>
                <w:rStyle w:val="IndexLink"/>
                <w:vanish w:val="false"/>
              </w:rPr>
              <w:tab/>
              <w:t>163</w:t>
            </w:r>
            <w:r>
              <w:rPr>
                <w:webHidden/>
              </w:rPr>
              <w:fldChar w:fldCharType="end"/>
            </w:r>
          </w:hyperlink>
        </w:p>
        <w:p>
          <w:pPr>
            <w:pStyle w:val="Contents1"/>
            <w:ind w:left="1755" w:hanging="1755"/>
            <w:rPr/>
          </w:pPr>
          <w:hyperlink w:anchor="_Toc1055381">
            <w:r>
              <w:rPr>
                <w:webHidden/>
                <w:rStyle w:val="IndexLink"/>
              </w:rPr>
              <w:t>Table 14.3.3.3</w:t>
              <w:tab/>
              <w:t xml:space="preserve"> Summary of Serious Adverse Events by Causality Relationship to Implant - Safety Population (N=49)</w:t>
            </w:r>
            <w:r>
              <w:rPr>
                <w:webHidden/>
              </w:rPr>
              <w:fldChar w:fldCharType="begin"/>
            </w:r>
            <w:r>
              <w:rPr>
                <w:webHidden/>
              </w:rPr>
              <w:instrText>PAGEREF _Toc1055381 \h</w:instrText>
            </w:r>
            <w:r>
              <w:rPr>
                <w:webHidden/>
              </w:rPr>
              <w:fldChar w:fldCharType="separate"/>
            </w:r>
            <w:r>
              <w:rPr>
                <w:rStyle w:val="IndexLink"/>
                <w:vanish w:val="false"/>
              </w:rPr>
              <w:tab/>
              <w:t>166</w:t>
            </w:r>
            <w:r>
              <w:rPr>
                <w:webHidden/>
              </w:rPr>
              <w:fldChar w:fldCharType="end"/>
            </w:r>
          </w:hyperlink>
        </w:p>
        <w:p>
          <w:pPr>
            <w:pStyle w:val="Contents1"/>
            <w:ind w:left="1755" w:hanging="1755"/>
            <w:rPr/>
          </w:pPr>
          <w:hyperlink w:anchor="_Toc1055382">
            <w:r>
              <w:rPr>
                <w:webHidden/>
                <w:rStyle w:val="IndexLink"/>
              </w:rPr>
              <w:t>Table 14.3.3.4</w:t>
              <w:tab/>
              <w:t xml:space="preserve"> Summary of Serious Adverse Events by Causality Relationship to Stimulation - Safety Population (N=49)</w:t>
            </w:r>
            <w:r>
              <w:rPr>
                <w:webHidden/>
              </w:rPr>
              <w:fldChar w:fldCharType="begin"/>
            </w:r>
            <w:r>
              <w:rPr>
                <w:webHidden/>
              </w:rPr>
              <w:instrText>PAGEREF _Toc1055382 \h</w:instrText>
            </w:r>
            <w:r>
              <w:rPr>
                <w:webHidden/>
              </w:rPr>
              <w:fldChar w:fldCharType="separate"/>
            </w:r>
            <w:r>
              <w:rPr>
                <w:rStyle w:val="IndexLink"/>
                <w:vanish w:val="false"/>
              </w:rPr>
              <w:tab/>
              <w:t>169</w:t>
            </w:r>
            <w:r>
              <w:rPr>
                <w:webHidden/>
              </w:rPr>
              <w:fldChar w:fldCharType="end"/>
            </w:r>
          </w:hyperlink>
        </w:p>
        <w:p>
          <w:pPr>
            <w:pStyle w:val="Contents1"/>
            <w:ind w:left="1755" w:hanging="1755"/>
            <w:rPr/>
          </w:pPr>
          <w:hyperlink w:anchor="_Toc1055383">
            <w:r>
              <w:rPr>
                <w:webHidden/>
                <w:rStyle w:val="IndexLink"/>
              </w:rPr>
              <w:t>Table 14.3.3.5</w:t>
              <w:tab/>
              <w:t xml:space="preserve"> Summary of Serious Adverse Events by Action taken -Safety Population (N=49)</w:t>
            </w:r>
            <w:r>
              <w:rPr>
                <w:webHidden/>
              </w:rPr>
              <w:fldChar w:fldCharType="begin"/>
            </w:r>
            <w:r>
              <w:rPr>
                <w:webHidden/>
              </w:rPr>
              <w:instrText>PAGEREF _Toc1055383 \h</w:instrText>
            </w:r>
            <w:r>
              <w:rPr>
                <w:webHidden/>
              </w:rPr>
              <w:fldChar w:fldCharType="separate"/>
            </w:r>
            <w:r>
              <w:rPr>
                <w:rStyle w:val="IndexLink"/>
                <w:vanish w:val="false"/>
              </w:rPr>
              <w:tab/>
              <w:t>172</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84">
            <w:r>
              <w:rPr>
                <w:webHidden/>
                <w:rStyle w:val="IndexLink"/>
              </w:rPr>
              <w:t>Table 14.3.3.6</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Serious Adverse Events by Frequency - Safety Population (N=49)</w:t>
            </w:r>
            <w:r>
              <w:rPr>
                <w:webHidden/>
              </w:rPr>
              <w:fldChar w:fldCharType="begin"/>
            </w:r>
            <w:r>
              <w:rPr>
                <w:webHidden/>
              </w:rPr>
              <w:instrText>PAGEREF _Toc1055384 \h</w:instrText>
            </w:r>
            <w:r>
              <w:rPr>
                <w:webHidden/>
              </w:rPr>
              <w:fldChar w:fldCharType="separate"/>
            </w:r>
            <w:r>
              <w:rPr>
                <w:rStyle w:val="IndexLink"/>
                <w:vanish w:val="false"/>
              </w:rPr>
              <w:tab/>
              <w:t>175</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85">
            <w:r>
              <w:rPr>
                <w:webHidden/>
                <w:rStyle w:val="IndexLink"/>
              </w:rPr>
              <w:t>Table 14.3.3.7</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Serious Adverse Events by Outcome - Safety Population (N=49)</w:t>
            </w:r>
            <w:r>
              <w:rPr>
                <w:webHidden/>
              </w:rPr>
              <w:fldChar w:fldCharType="begin"/>
            </w:r>
            <w:r>
              <w:rPr>
                <w:webHidden/>
              </w:rPr>
              <w:instrText>PAGEREF _Toc1055385 \h</w:instrText>
            </w:r>
            <w:r>
              <w:rPr>
                <w:webHidden/>
              </w:rPr>
              <w:fldChar w:fldCharType="separate"/>
            </w:r>
            <w:r>
              <w:rPr>
                <w:rStyle w:val="IndexLink"/>
                <w:vanish w:val="false"/>
              </w:rPr>
              <w:tab/>
              <w:t>178</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IN" w:eastAsia="en-IN"/>
            </w:rPr>
          </w:pPr>
          <w:hyperlink w:anchor="_Toc1055386">
            <w:r>
              <w:rPr>
                <w:webHidden/>
                <w:rStyle w:val="IndexLink"/>
              </w:rPr>
              <w:t>Table 14.3.7.1</w:t>
            </w:r>
            <w:r>
              <w:rPr>
                <w:rStyle w:val="IndexLink"/>
                <w:rFonts w:eastAsia="" w:cs="" w:ascii="Calibri" w:hAnsi="Calibri" w:asciiTheme="minorHAnsi" w:cstheme="minorBidi" w:eastAsiaTheme="minorEastAsia" w:hAnsiTheme="minorHAnsi"/>
                <w:sz w:val="22"/>
                <w:szCs w:val="22"/>
                <w:lang w:val="en-IN" w:eastAsia="en-IN"/>
              </w:rPr>
              <w:tab/>
            </w:r>
            <w:r>
              <w:rPr>
                <w:rStyle w:val="IndexLink"/>
              </w:rPr>
              <w:t xml:space="preserve"> Summary of Concomitant Medication (24 Months Visit) (N=46)</w:t>
            </w:r>
            <w:r>
              <w:rPr>
                <w:webHidden/>
              </w:rPr>
              <w:fldChar w:fldCharType="begin"/>
            </w:r>
            <w:r>
              <w:rPr>
                <w:webHidden/>
              </w:rPr>
              <w:instrText>PAGEREF _Toc1055386 \h</w:instrText>
            </w:r>
            <w:r>
              <w:rPr>
                <w:webHidden/>
              </w:rPr>
              <w:fldChar w:fldCharType="separate"/>
            </w:r>
            <w:r>
              <w:rPr>
                <w:rStyle w:val="IndexLink"/>
                <w:vanish w:val="false"/>
              </w:rPr>
              <w:tab/>
              <w:t>181</w:t>
            </w:r>
            <w:r>
              <w:rPr>
                <w:webHidden/>
              </w:rPr>
              <w:fldChar w:fldCharType="end"/>
            </w:r>
          </w:hyperlink>
          <w:r>
            <w:rPr>
              <w:rStyle w:val="IndexLink"/>
              <w:vanish w:val="false"/>
            </w:rPr>
            <w:fldChar w:fldCharType="end"/>
          </w:r>
        </w:p>
      </w:sdtContent>
    </w:sdt>
    <w:p>
      <w:pPr>
        <w:pStyle w:val="Normal"/>
        <w:spacing w:lineRule="auto"/>
        <w:rPr>
          <w:rFonts w:ascii="Times New Roman" w:hAnsi="Times New Roman" w:eastAsia="Times New Roman"/>
          <w:sz w:val="19"/>
        </w:rPr>
      </w:pPr>
      <w:r>
        <w:rPr>
          <w:rFonts w:eastAsia="Times New Roman" w:ascii="Times New Roman" w:hAnsi="Times New Roman"/>
          <w:sz w:val="19"/>
        </w:rPr>
      </w:r>
    </w:p>
    <w:p>
      <w:pPr>
        <w:pStyle w:val="Normal"/>
        <w:spacing w:lineRule="auto"/>
        <w:rPr>
          <w:rFonts w:ascii="Times New Roman" w:hAnsi="Times New Roman" w:eastAsia="Times New Roman"/>
          <w:sz w:val="19"/>
        </w:rPr>
      </w:pPr>
      <w:r>
        <w:rPr>
          <w:rFonts w:eastAsia="Times New Roman" w:ascii="Times New Roman" w:hAnsi="Times New Roman"/>
          <w:sz w:val="19"/>
        </w:rPr>
      </w:r>
    </w:p>
    <w:p>
      <w:pPr>
        <w:pStyle w:val="Contents1"/>
        <w:ind w:left="1755" w:hanging="1755"/>
        <w:rPr/>
      </w:pPr>
      <w:r>
        <w:rPr/>
      </w:r>
    </w:p>
    <w:p>
      <w:pPr>
        <w:pStyle w:val="Normal"/>
        <w:rPr/>
      </w:pPr>
      <w:r>
        <w:rPr/>
      </w:r>
    </w:p>
    <w:p>
      <w:pPr>
        <w:pStyle w:val="Contents1"/>
        <w:ind w:left="1755" w:hanging="1755"/>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060" w:leader="none"/>
        </w:tabs>
        <w:rPr/>
      </w:pPr>
      <w:r>
        <w:rPr/>
        <w:tab/>
      </w:r>
    </w:p>
    <w:p>
      <w:pPr>
        <w:pStyle w:val="Contents1"/>
        <w:rPr/>
      </w:pPr>
      <w:r>
        <w:rPr/>
        <w:tab/>
      </w:r>
    </w:p>
    <w:p>
      <w:pPr>
        <w:sectPr>
          <w:type w:val="nextPage"/>
          <w:pgSz w:w="11906" w:h="16838"/>
          <w:pgMar w:left="1080" w:right="1086" w:header="0" w:top="0" w:footer="0" w:bottom="0" w:gutter="0"/>
          <w:pgNumType w:fmt="decimal"/>
          <w:formProt w:val="false"/>
          <w:textDirection w:val="lrTb"/>
          <w:docGrid w:type="default" w:linePitch="312" w:charSpace="2047"/>
        </w:sectPr>
      </w:pPr>
    </w:p>
    <w:p>
      <w:pPr>
        <w:pStyle w:val="Heading2"/>
        <w:rPr/>
      </w:pPr>
      <w:bookmarkStart w:id="2" w:name="_Toc1055338"/>
      <w:bookmarkStart w:id="3" w:name="page4"/>
      <w:bookmarkStart w:id="4" w:name="page3"/>
      <w:bookmarkEnd w:id="3"/>
      <w:bookmarkEnd w:id="4"/>
      <w:r>
        <w:rPr/>
        <w:t>Table 14.1.2.1</w:t>
        <w:tab/>
        <w:tab/>
        <w:t>Summary of Subject Demographics at Baseline ITT Population (N=49)</w:t>
      </w:r>
      <w:bookmarkEnd w:id="2"/>
    </w:p>
    <w:tbl>
      <w:tblPr>
        <w:tblW w:w="5000" w:type="pct"/>
        <w:jc w:val="center"/>
        <w:tblInd w:w="0" w:type="dxa"/>
        <w:tblCellMar>
          <w:top w:w="0" w:type="dxa"/>
          <w:left w:w="60" w:type="dxa"/>
          <w:bottom w:w="0" w:type="dxa"/>
          <w:right w:w="60" w:type="dxa"/>
        </w:tblCellMar>
        <w:tblLook w:val="0000" w:noHBand="0" w:noVBand="0" w:firstColumn="0" w:lastRow="0" w:lastColumn="0" w:firstRow="0"/>
      </w:tblPr>
      <w:tblGrid>
        <w:gridCol w:w="3007"/>
        <w:gridCol w:w="4518"/>
        <w:gridCol w:w="1813"/>
        <w:gridCol w:w="1812"/>
        <w:gridCol w:w="1810"/>
      </w:tblGrid>
      <w:tr>
        <w:trPr>
          <w:tblHeader w:val="true"/>
          <w:cantSplit w:val="true"/>
        </w:trPr>
        <w:tc>
          <w:tcPr>
            <w:tcW w:w="7525"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625" w:type="dxa"/>
            <w:gridSpan w:val="2"/>
            <w:tcBorders>
              <w:top w:val="single" w:sz="6" w:space="0" w:color="000000"/>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10" w:type="dxa"/>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3007" w:type="dxa"/>
            <w:tcBorders>
              <w:left w:val="single" w:sz="6"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b/>
                <w:b/>
                <w:bCs/>
                <w:color w:val="000000"/>
              </w:rPr>
            </w:pPr>
            <w:r>
              <w:rPr>
                <w:rFonts w:cs="Times New Roman" w:ascii="Times New Roman" w:hAnsi="Times New Roman"/>
                <w:b/>
                <w:bCs/>
                <w:color w:val="000000"/>
              </w:rPr>
              <w:t>Parameters</w:t>
            </w:r>
          </w:p>
        </w:tc>
        <w:tc>
          <w:tcPr>
            <w:tcW w:w="4518" w:type="dxa"/>
            <w:tcBorders>
              <w:left w:val="single" w:sz="2"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b/>
                <w:b/>
                <w:bCs/>
                <w:color w:val="000000"/>
              </w:rPr>
            </w:pPr>
            <w:r>
              <w:rPr>
                <w:rFonts w:cs="Times New Roman" w:ascii="Times New Roman" w:hAnsi="Times New Roman"/>
                <w:b/>
                <w:bCs/>
                <w:color w:val="000000"/>
              </w:rPr>
              <w:t>Statistics / Category, n (%) [1]</w:t>
            </w:r>
          </w:p>
        </w:tc>
        <w:tc>
          <w:tcPr>
            <w:tcW w:w="1813"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12"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Gender</w:t>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Male</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22 (84.6 %)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 (87.0 %)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42 (85.7 %)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Female</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 (15.4 %)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3 (13.0 %)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7 (14.3 %)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Age (years)</w:t>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26</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Mean</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52.4</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49.7</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51.1</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SD</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12.7</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13.0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12.8</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Q1</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42.0</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42.0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42.0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Median</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51.5</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49.0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Q3</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63.0</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60.0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60.0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Range (Min.: Max.)</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(30.0: 79.0)</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 80.0)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 80.0)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Ethnicity</w:t>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Hispanic or Latino</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Non-Hispanic</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26 (100.0 %)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 (100.0 %)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49 (100.0 %)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Race</w:t>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American Indian or Alaska Native</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Asian</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26 (100.0 %)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 (100.0 %)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49 (100.0 %)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Black or African American</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Native Hawaiian or other pacific islander</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White</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Subject ever smoked</w:t>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Yes</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11 (42.3 %)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 (43.5 %)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21 (42.9 %)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No</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15 (57.7 %)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13 (56.5 %)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28 (57.1 %)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Smoking Status [2]</w:t>
            </w:r>
          </w:p>
        </w:tc>
        <w:tc>
          <w:tcPr>
            <w:tcW w:w="451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Current Smoker</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(0.00 %)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 (40.0 %)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 (19.0 %)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Former Smoker</w:t>
            </w:r>
          </w:p>
        </w:tc>
        <w:tc>
          <w:tcPr>
            <w:tcW w:w="181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11 (100.0 %)</w:t>
            </w:r>
          </w:p>
        </w:tc>
        <w:tc>
          <w:tcPr>
            <w:tcW w:w="1812"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6 (60.0 %)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17 (81.0 %)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60" w:after="6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Respective column header group counts was used as denominator for percentage calculation.</w:t>
              <w:br/>
              <w:t>[2] Percentage was calculated using the counts of ‘Yes’ Category of Subjects ever smoked.</w:t>
            </w:r>
          </w:p>
        </w:tc>
      </w:tr>
    </w:tbl>
    <w:p>
      <w:pPr>
        <w:pStyle w:val="Normal"/>
        <w:rPr/>
      </w:pPr>
      <w:r>
        <w:rPr/>
      </w:r>
    </w:p>
    <w:p>
      <w:pPr>
        <w:pStyle w:val="Normal"/>
        <w:spacing w:lineRule="auto" w:line="259" w:before="0" w:after="160"/>
        <w:rPr/>
      </w:pPr>
      <w:r>
        <w:rPr/>
      </w:r>
      <w:r>
        <w:br w:type="page"/>
      </w:r>
    </w:p>
    <w:p>
      <w:pPr>
        <w:pStyle w:val="Heading2"/>
        <w:rPr/>
      </w:pPr>
      <w:r>
        <w:rPr/>
        <w:tab/>
      </w:r>
      <w:bookmarkStart w:id="5" w:name="_Toc1055339"/>
      <w:r>
        <w:rPr/>
        <w:t>Table 14.1.2.2</w:t>
        <w:tab/>
        <w:tab/>
        <w:t>Summary of Medical and Surgical History ITT Population (N=49)</w:t>
      </w:r>
      <w:bookmarkEnd w:id="5"/>
    </w:p>
    <w:tbl>
      <w:tblPr>
        <w:tblW w:w="5000" w:type="pct"/>
        <w:jc w:val="center"/>
        <w:tblInd w:w="0" w:type="dxa"/>
        <w:tblCellMar>
          <w:top w:w="0" w:type="dxa"/>
          <w:left w:w="60" w:type="dxa"/>
          <w:bottom w:w="0" w:type="dxa"/>
          <w:right w:w="60" w:type="dxa"/>
        </w:tblCellMar>
        <w:tblLook w:val="0000" w:noHBand="0" w:noVBand="0" w:firstColumn="0" w:lastRow="0" w:lastColumn="0" w:firstRow="0"/>
      </w:tblPr>
      <w:tblGrid>
        <w:gridCol w:w="4717"/>
        <w:gridCol w:w="3373"/>
        <w:gridCol w:w="1624"/>
        <w:gridCol w:w="1623"/>
        <w:gridCol w:w="1623"/>
      </w:tblGrid>
      <w:tr>
        <w:trPr>
          <w:tblHeader w:val="true"/>
          <w:cantSplit w:val="true"/>
        </w:trPr>
        <w:tc>
          <w:tcPr>
            <w:tcW w:w="8090"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247" w:type="dxa"/>
            <w:gridSpan w:val="2"/>
            <w:tcBorders>
              <w:top w:val="single" w:sz="6" w:space="0" w:color="000000"/>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623" w:type="dxa"/>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4717" w:type="dxa"/>
            <w:tcBorders>
              <w:left w:val="single" w:sz="6"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b/>
                <w:b/>
                <w:bCs/>
                <w:color w:val="000000"/>
              </w:rPr>
            </w:pPr>
            <w:r>
              <w:rPr>
                <w:rFonts w:cs="Times New Roman" w:ascii="Times New Roman" w:hAnsi="Times New Roman"/>
                <w:b/>
                <w:bCs/>
                <w:color w:val="000000"/>
              </w:rPr>
              <w:t>Body System</w:t>
            </w:r>
          </w:p>
        </w:tc>
        <w:tc>
          <w:tcPr>
            <w:tcW w:w="3373" w:type="dxa"/>
            <w:tcBorders>
              <w:left w:val="single" w:sz="2"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b/>
                <w:b/>
                <w:bCs/>
                <w:color w:val="000000"/>
              </w:rPr>
            </w:pPr>
            <w:r>
              <w:rPr>
                <w:rFonts w:cs="Times New Roman" w:ascii="Times New Roman" w:hAnsi="Times New Roman"/>
                <w:b/>
                <w:bCs/>
                <w:color w:val="000000"/>
              </w:rPr>
              <w:t>Category, n (%) [1]</w:t>
            </w:r>
          </w:p>
        </w:tc>
        <w:tc>
          <w:tcPr>
            <w:tcW w:w="1624"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623"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Respiratory</w:t>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Surgical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Medical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Current Status</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Past</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 (8.7 %)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 (4.1 %)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Ongoing</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(4.3 %)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(2.0 %)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On treatment Currently</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Yes[2]</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(100.0 %)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(100.0 %)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Cardiovascular</w:t>
            </w:r>
          </w:p>
        </w:tc>
        <w:tc>
          <w:tcPr>
            <w:tcW w:w="337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Surgical</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26 (100.0 %)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 (100.0 %)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49 (100.0 %)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Medical</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Current Status</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Past</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(3.8 %)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(4.3 %)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 (4.1 %)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Ongoing</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22 (84.6 %)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 (100.0 %)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45 (91.8 %)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On treatment Currently</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Yes[2]</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22 (100.0 %)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 (100.0 %)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45 (100.0 %)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Genitourinary</w:t>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Surgical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Medical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Current Status</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Past</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(4.3 %)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(2.0 %)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Ongoing</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On treatment Currently</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Yes[2]</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Endocrine/Metabolic</w:t>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Surgical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Medical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Current Status</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Past</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Ongoing</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 (7.7 %)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3 (13.0 %)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5 (10.2 %)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On treatment Currently</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Yes[2]</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 (100.0 %)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3 (100.0 %)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5 (100.0 %)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Head, Eyes, Ear, Nose, Throat</w:t>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Surgical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Medical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
                <w:b/>
                <w:bCs/>
                <w:color w:val="000000"/>
              </w:rPr>
            </w:pPr>
            <w:r>
              <w:rPr>
                <w:rFonts w:cs="Times New Roman" w:ascii="Times New Roman" w:hAnsi="Times New Roman"/>
                <w:b/>
                <w:bCs/>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Current Status</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Past</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(4.3 %)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(2.0 %)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Ongoing</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(3.8 %)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(2.0 %)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On treatment Currently</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Yes[2]</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(100.0 %)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(100.0 %)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Musculoskeletal</w:t>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Surgical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lineRule="auto" w:line="252" w:before="60" w:after="60"/>
              <w:rPr>
                <w:rFonts w:ascii="Times New Roman" w:hAnsi="Times New Roman" w:cs="Times New Roman"/>
                <w:b/>
                <w:b/>
                <w:bCs/>
                <w:color w:val="000000"/>
              </w:rPr>
            </w:pPr>
            <w:r>
              <w:rPr>
                <w:rFonts w:cs="Times New Roman" w:ascii="Times New Roman" w:hAnsi="Times New Roman"/>
                <w:b/>
                <w:bCs/>
                <w:color w:val="000000"/>
              </w:rPr>
              <w:t>Medical</w:t>
            </w:r>
          </w:p>
        </w:tc>
        <w:tc>
          <w:tcPr>
            <w:tcW w:w="1624"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r>
          </w:p>
        </w:tc>
        <w:tc>
          <w:tcPr>
            <w:tcW w:w="1623" w:type="dxa"/>
            <w:tcBorders>
              <w:left w:val="single" w:sz="2" w:space="0" w:color="000000"/>
              <w:bottom w:val="single" w:sz="2"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lineRule="auto" w:line="252" w:before="60" w:after="60"/>
              <w:jc w:val="center"/>
              <w:rPr>
                <w:rFonts w:ascii="Times New Roman" w:hAnsi="Times New Roman" w:cs="Times New Roman"/>
                <w:bCs/>
                <w:color w:val="000000"/>
              </w:rPr>
            </w:pPr>
            <w:r>
              <w:rPr>
                <w:rFonts w:cs="Times New Roman" w:ascii="Times New Roman" w:hAnsi="Times New Roman"/>
                <w:bCs/>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Current Status</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Past</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Ongoing</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(4.3 %)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(2.0 %)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On treatment Currently</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Yes[2]</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1624"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 (0.0 %)</w:t>
            </w:r>
          </w:p>
        </w:tc>
        <w:tc>
          <w:tcPr>
            <w:tcW w:w="1623"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(100.0 %)</w:t>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 (100.0 %)</w:t>
            </w:r>
          </w:p>
        </w:tc>
      </w:tr>
      <w:tr>
        <w:trPr>
          <w:cantSplit w:val="true"/>
        </w:trPr>
        <w:tc>
          <w:tcPr>
            <w:tcW w:w="4717" w:type="dxa"/>
            <w:tcBorders>
              <w:left w:val="single" w:sz="6"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3373"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4"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r>
          </w:p>
        </w:tc>
        <w:tc>
          <w:tcPr>
            <w:tcW w:w="1623"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60" w:after="6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Respective column header group counts were used as denominator for percentage calculation.</w:t>
              <w:br/>
              <w:t>[2] Percentages were calculated using ‘Ongoing’ Counts for the Yes Category for variable on VNS therapy</w:t>
              <w:br/>
              <w:t>    (Right/Left) currently.</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6" w:name="_Toc1055340"/>
      <w:r>
        <w:rPr/>
        <w:t>Table 14.1.2.3</w:t>
        <w:tab/>
        <w:tab/>
        <w:t>Summary of Heart Failure History at Visit 1 ITT Population (N=49)</w:t>
      </w:r>
      <w:bookmarkEnd w:id="6"/>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3007"/>
        <w:gridCol w:w="4518"/>
        <w:gridCol w:w="1813"/>
        <w:gridCol w:w="1812"/>
        <w:gridCol w:w="1810"/>
      </w:tblGrid>
      <w:tr>
        <w:trPr>
          <w:tblHeader w:val="true"/>
          <w:cantSplit w:val="true"/>
        </w:trPr>
        <w:tc>
          <w:tcPr>
            <w:tcW w:w="7525"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625" w:type="dxa"/>
            <w:gridSpan w:val="2"/>
            <w:tcBorders>
              <w:top w:val="single" w:sz="6" w:space="0" w:color="000000"/>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10" w:type="dxa"/>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3007" w:type="dxa"/>
            <w:tcBorders>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Diagnosis</w:t>
            </w:r>
          </w:p>
        </w:tc>
        <w:tc>
          <w:tcPr>
            <w:tcW w:w="4518"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Statistics/Category, n (%) [1]</w:t>
            </w:r>
          </w:p>
        </w:tc>
        <w:tc>
          <w:tcPr>
            <w:tcW w:w="1813"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1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Heart Failure Etiology</w:t>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Ischemic</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 (88.5 %)</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18 (78.3 %)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41 (83.7 %)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Non -Ischemic</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(11.5 %)</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(16.3 %)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NYHA Class</w:t>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Class I</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(53.8 %)</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 (47.8 %)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25 (51.0 %)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Class II</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(46.2 %)</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 (43.5 %)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22 (44.9 %)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Class III</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(0.00 %)</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Class IV</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(0.00 %)</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(0.00 %)</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Historical Echocardiogram Measurement</w:t>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LVESD (cm)</w:t>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26</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4.93</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5.05</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4.99</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0.748</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0.835</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0.784</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4.50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4.40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4.40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5.10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5.40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5.60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5.50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(3.31: 6.80)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(3.50: 7.10)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(3.31: 7.10)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Not reported</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LVESV (ml)</w:t>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26</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118</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121</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119</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40.1</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49.5</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44.3</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84.0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85.8</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84.0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113</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111</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113</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145</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145</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145</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(57.8: 221)</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(51.6: 264)</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(51.6: 264)</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Not reported</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Ejection Fraction</w:t>
            </w:r>
          </w:p>
        </w:tc>
        <w:tc>
          <w:tcPr>
            <w:tcW w:w="4518"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26</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28.8</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29.7</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29.2</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7.65</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6.98</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7.28</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25.0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25.0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25.0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35.0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35.0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35.0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(10.0: 40.0)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(10.0: 40.0)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(10.0: 40.0)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Not reported</w:t>
            </w:r>
          </w:p>
        </w:tc>
        <w:tc>
          <w:tcPr>
            <w:tcW w:w="181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w:t>
            </w:r>
          </w:p>
        </w:tc>
        <w:tc>
          <w:tcPr>
            <w:tcW w:w="181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w:t>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w:t>
            </w:r>
          </w:p>
        </w:tc>
      </w:tr>
      <w:tr>
        <w:trPr>
          <w:cantSplit w:val="true"/>
        </w:trPr>
        <w:tc>
          <w:tcPr>
            <w:tcW w:w="3007"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518"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3"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10"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Respective column header group counts were used as denominator for percentage calculation.</w:t>
            </w:r>
          </w:p>
        </w:tc>
      </w:tr>
    </w:tbl>
    <w:p>
      <w:pPr>
        <w:pStyle w:val="Normal"/>
        <w:rPr/>
      </w:pPr>
      <w:r>
        <w:rPr/>
      </w:r>
    </w:p>
    <w:p>
      <w:pPr>
        <w:pStyle w:val="Normal"/>
        <w:spacing w:lineRule="auto" w:line="259" w:before="0" w:after="160"/>
        <w:rPr/>
      </w:pPr>
      <w:r>
        <w:rPr/>
      </w:r>
      <w:r>
        <w:br w:type="page"/>
      </w:r>
    </w:p>
    <w:p>
      <w:pPr>
        <w:pStyle w:val="Heading2"/>
        <w:rPr/>
      </w:pPr>
      <w:bookmarkStart w:id="7" w:name="_Toc1055341"/>
      <w:r>
        <w:rPr/>
        <w:t>Table 14.1.2.4</w:t>
        <w:tab/>
        <w:tab/>
        <w:t>Summary of Duration of HF (Years) - ITT Population (N=49)</w:t>
      </w:r>
      <w:bookmarkEnd w:id="7"/>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2592"/>
        <w:gridCol w:w="2581"/>
        <w:gridCol w:w="2597"/>
        <w:gridCol w:w="2598"/>
        <w:gridCol w:w="2592"/>
      </w:tblGrid>
      <w:tr>
        <w:trPr>
          <w:tblHeader w:val="true"/>
          <w:cantSplit w:val="true"/>
        </w:trPr>
        <w:tc>
          <w:tcPr>
            <w:tcW w:w="5173"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5195" w:type="dxa"/>
            <w:gridSpan w:val="2"/>
            <w:tcBorders>
              <w:top w:val="single" w:sz="6" w:space="0" w:color="000000"/>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2592" w:type="dxa"/>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2592"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w:t>
            </w:r>
          </w:p>
        </w:tc>
        <w:tc>
          <w:tcPr>
            <w:tcW w:w="2581"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Statistics</w:t>
            </w:r>
          </w:p>
        </w:tc>
        <w:tc>
          <w:tcPr>
            <w:tcW w:w="2597"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59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592"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2592"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Baseline</w:t>
            </w:r>
          </w:p>
        </w:tc>
        <w:tc>
          <w:tcPr>
            <w:tcW w:w="2581"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59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26</w:t>
            </w:r>
          </w:p>
        </w:tc>
        <w:tc>
          <w:tcPr>
            <w:tcW w:w="259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w:t>
            </w:r>
          </w:p>
        </w:tc>
        <w:tc>
          <w:tcPr>
            <w:tcW w:w="2592"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92"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81"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26</w:t>
            </w:r>
          </w:p>
        </w:tc>
        <w:tc>
          <w:tcPr>
            <w:tcW w:w="259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w:t>
            </w:r>
          </w:p>
        </w:tc>
        <w:tc>
          <w:tcPr>
            <w:tcW w:w="2592"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92"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81"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4.32</w:t>
            </w:r>
          </w:p>
        </w:tc>
        <w:tc>
          <w:tcPr>
            <w:tcW w:w="259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4.14</w:t>
            </w:r>
          </w:p>
        </w:tc>
        <w:tc>
          <w:tcPr>
            <w:tcW w:w="2592"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4.23</w:t>
            </w:r>
          </w:p>
        </w:tc>
      </w:tr>
      <w:tr>
        <w:trPr>
          <w:cantSplit w:val="true"/>
        </w:trPr>
        <w:tc>
          <w:tcPr>
            <w:tcW w:w="2592"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81"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4.44</w:t>
            </w:r>
          </w:p>
        </w:tc>
        <w:tc>
          <w:tcPr>
            <w:tcW w:w="259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3.84</w:t>
            </w:r>
          </w:p>
        </w:tc>
        <w:tc>
          <w:tcPr>
            <w:tcW w:w="2592"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4.13</w:t>
            </w:r>
          </w:p>
        </w:tc>
      </w:tr>
      <w:tr>
        <w:trPr>
          <w:cantSplit w:val="true"/>
        </w:trPr>
        <w:tc>
          <w:tcPr>
            <w:tcW w:w="2592"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81"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1.53</w:t>
            </w:r>
          </w:p>
        </w:tc>
        <w:tc>
          <w:tcPr>
            <w:tcW w:w="259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1.39</w:t>
            </w:r>
          </w:p>
        </w:tc>
        <w:tc>
          <w:tcPr>
            <w:tcW w:w="2592"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1.48</w:t>
            </w:r>
          </w:p>
        </w:tc>
      </w:tr>
      <w:tr>
        <w:trPr>
          <w:cantSplit w:val="true"/>
        </w:trPr>
        <w:tc>
          <w:tcPr>
            <w:tcW w:w="2592"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81"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2.38</w:t>
            </w:r>
          </w:p>
        </w:tc>
        <w:tc>
          <w:tcPr>
            <w:tcW w:w="259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2.37</w:t>
            </w:r>
          </w:p>
        </w:tc>
        <w:tc>
          <w:tcPr>
            <w:tcW w:w="2592"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2.37</w:t>
            </w:r>
          </w:p>
        </w:tc>
      </w:tr>
      <w:tr>
        <w:trPr>
          <w:cantSplit w:val="true"/>
        </w:trPr>
        <w:tc>
          <w:tcPr>
            <w:tcW w:w="2592"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581"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Q3</w:t>
            </w:r>
          </w:p>
        </w:tc>
        <w:tc>
          <w:tcPr>
            <w:tcW w:w="2597"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t>4.69</w:t>
            </w:r>
          </w:p>
        </w:tc>
        <w:tc>
          <w:tcPr>
            <w:tcW w:w="2598"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t>5.21</w:t>
            </w:r>
          </w:p>
        </w:tc>
        <w:tc>
          <w:tcPr>
            <w:tcW w:w="2592"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t>4.69</w:t>
            </w:r>
          </w:p>
        </w:tc>
      </w:tr>
      <w:tr>
        <w:trPr>
          <w:cantSplit w:val="true"/>
        </w:trPr>
        <w:tc>
          <w:tcPr>
            <w:tcW w:w="2592" w:type="dxa"/>
            <w:tcBorders>
              <w:left w:val="single" w:sz="6" w:space="0" w:color="000000"/>
              <w:bottom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81" w:type="dxa"/>
            <w:tcBorders>
              <w:left w:val="single" w:sz="2" w:space="0" w:color="000000"/>
              <w:bottom w:val="single" w:sz="6"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7" w:type="dxa"/>
            <w:tcBorders>
              <w:left w:val="single" w:sz="2" w:space="0" w:color="000000"/>
              <w:bottom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(0.90: 15.1)</w:t>
            </w:r>
          </w:p>
        </w:tc>
        <w:tc>
          <w:tcPr>
            <w:tcW w:w="2598" w:type="dxa"/>
            <w:tcBorders>
              <w:left w:val="single" w:sz="2" w:space="0" w:color="000000"/>
              <w:bottom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(0.99: 13.9)</w:t>
            </w:r>
          </w:p>
        </w:tc>
        <w:tc>
          <w:tcPr>
            <w:tcW w:w="2592" w:type="dxa"/>
            <w:tcBorders>
              <w:left w:val="single" w:sz="2" w:space="0" w:color="000000"/>
              <w:bottom w:val="single" w:sz="6"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(0.90: 15.1)</w:t>
            </w:r>
          </w:p>
        </w:tc>
      </w:tr>
    </w:tbl>
    <w:p>
      <w:pPr>
        <w:pStyle w:val="Normal"/>
        <w:rPr/>
      </w:pPr>
      <w:r>
        <w:rPr/>
      </w:r>
    </w:p>
    <w:p>
      <w:pPr>
        <w:pStyle w:val="Normal"/>
        <w:spacing w:lineRule="auto" w:line="259" w:before="0" w:after="160"/>
        <w:rPr/>
      </w:pPr>
      <w:r>
        <w:rPr/>
      </w:r>
      <w:r>
        <w:br w:type="page"/>
      </w:r>
    </w:p>
    <w:p>
      <w:pPr>
        <w:pStyle w:val="Heading2"/>
        <w:rPr/>
      </w:pPr>
      <w:bookmarkStart w:id="8" w:name="_Toc1055342"/>
      <w:r>
        <w:rPr/>
        <w:t>Table 14.1.2.5</w:t>
        <w:tab/>
        <w:tab/>
        <w:t>Summary of QRS with VNS off - ITT Population (N=49)</w:t>
      </w:r>
      <w:bookmarkEnd w:id="8"/>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3337"/>
        <w:gridCol w:w="2405"/>
        <w:gridCol w:w="2404"/>
        <w:gridCol w:w="2408"/>
        <w:gridCol w:w="2406"/>
      </w:tblGrid>
      <w:tr>
        <w:trPr>
          <w:tblHeader w:val="true"/>
          <w:cantSplit w:val="true"/>
        </w:trPr>
        <w:tc>
          <w:tcPr>
            <w:tcW w:w="5742"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812" w:type="dxa"/>
            <w:gridSpan w:val="2"/>
            <w:tcBorders>
              <w:top w:val="single" w:sz="6" w:space="0" w:color="000000"/>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2406" w:type="dxa"/>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3337"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w:t>
            </w:r>
          </w:p>
        </w:tc>
        <w:tc>
          <w:tcPr>
            <w:tcW w:w="2405"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Statistics</w:t>
            </w:r>
          </w:p>
        </w:tc>
        <w:tc>
          <w:tcPr>
            <w:tcW w:w="2404"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40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406"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Baseline</w:t>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26</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26</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95.9</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97.2</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96.5</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29.9</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32.6</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30.8</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80.0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83.0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80.0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94.0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103</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104</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119</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(40.0: 176)</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(27.0: 149)</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(27.0: 176)</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9 Months Follow-up Visit</w:t>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22</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18</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22</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18</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111</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94.3</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103</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69.5</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37.9</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57.4</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86.0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74.0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84.0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99.5</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98.0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99.5</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104</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(42.0: 400)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(32.0: 154)</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(32.0: 400)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12 Months Follow-up Visit</w:t>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25</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21</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25</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21</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96.1</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104</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99.7</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27.1</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31.9</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29.3</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86.0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88.0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86.0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99.0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106</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101</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107</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115</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114</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(40.0: 156)</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(35.0: 152)</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(35.0: 156)</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18 Months Follow-up Visit</w:t>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43</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23</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43</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97.2</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103</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25.0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39.0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32.0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84.0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82.0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84.0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106</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101</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113</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134</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114</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(27.0: 151)</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(35.0: 164)</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(27.0: 164)</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24 Months Follow-up Visit</w:t>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21</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19</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21</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19</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96.3</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106</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101</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24.2</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37.2</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31.0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92.0</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88.0</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90.0</w:t>
            </w:r>
          </w:p>
        </w:tc>
      </w:tr>
      <w:tr>
        <w:trPr>
          <w:cantSplit w:val="true"/>
        </w:trPr>
        <w:tc>
          <w:tcPr>
            <w:tcW w:w="3337"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103</w:t>
            </w:r>
          </w:p>
        </w:tc>
        <w:tc>
          <w:tcPr>
            <w:tcW w:w="240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106</w:t>
            </w:r>
          </w:p>
        </w:tc>
        <w:tc>
          <w:tcPr>
            <w:tcW w:w="2406"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104</w:t>
            </w:r>
          </w:p>
        </w:tc>
      </w:tr>
      <w:tr>
        <w:trPr>
          <w:cantSplit w:val="true"/>
        </w:trPr>
        <w:tc>
          <w:tcPr>
            <w:tcW w:w="3337"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Q3</w:t>
            </w:r>
          </w:p>
        </w:tc>
        <w:tc>
          <w:tcPr>
            <w:tcW w:w="2404"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t>111</w:t>
            </w:r>
          </w:p>
        </w:tc>
        <w:tc>
          <w:tcPr>
            <w:tcW w:w="2408"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t>144</w:t>
            </w:r>
          </w:p>
        </w:tc>
        <w:tc>
          <w:tcPr>
            <w:tcW w:w="2406"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t>115</w:t>
            </w:r>
          </w:p>
        </w:tc>
      </w:tr>
      <w:tr>
        <w:trPr>
          <w:cantSplit w:val="true"/>
        </w:trPr>
        <w:tc>
          <w:tcPr>
            <w:tcW w:w="3337" w:type="dxa"/>
            <w:tcBorders>
              <w:left w:val="single" w:sz="6" w:space="0" w:color="000000"/>
              <w:bottom w:val="single" w:sz="6"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405" w:type="dxa"/>
            <w:tcBorders>
              <w:left w:val="single" w:sz="2" w:space="0" w:color="000000"/>
              <w:bottom w:val="single" w:sz="6"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4" w:type="dxa"/>
            <w:tcBorders>
              <w:left w:val="single" w:sz="2" w:space="0" w:color="000000"/>
              <w:bottom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(42.0: 134)</w:t>
            </w:r>
          </w:p>
        </w:tc>
        <w:tc>
          <w:tcPr>
            <w:tcW w:w="2408" w:type="dxa"/>
            <w:tcBorders>
              <w:left w:val="single" w:sz="2" w:space="0" w:color="000000"/>
              <w:bottom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(40.0: 160)</w:t>
            </w:r>
          </w:p>
        </w:tc>
        <w:tc>
          <w:tcPr>
            <w:tcW w:w="2406" w:type="dxa"/>
            <w:tcBorders>
              <w:left w:val="single" w:sz="2" w:space="0" w:color="000000"/>
              <w:bottom w:val="single" w:sz="6"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(40.0: 160)</w:t>
            </w:r>
          </w:p>
        </w:tc>
      </w:tr>
    </w:tbl>
    <w:p>
      <w:pPr>
        <w:pStyle w:val="Normal"/>
        <w:rPr/>
      </w:pPr>
      <w:r>
        <w:rPr/>
      </w:r>
    </w:p>
    <w:p>
      <w:pPr>
        <w:pStyle w:val="Normal"/>
        <w:rPr/>
      </w:pPr>
      <w:r>
        <w:rPr/>
      </w:r>
    </w:p>
    <w:p>
      <w:pPr>
        <w:pStyle w:val="Normal"/>
        <w:tabs>
          <w:tab w:val="clear" w:pos="720"/>
          <w:tab w:val="left" w:pos="4515" w:leader="none"/>
        </w:tabs>
        <w:spacing w:lineRule="auto" w:line="259" w:before="0" w:after="160"/>
        <w:jc w:val="center"/>
        <w:rPr>
          <w:rFonts w:ascii="Times New Roman" w:hAnsi="Times New Roman" w:eastAsia="" w:cs="" w:cstheme="majorBidi" w:eastAsiaTheme="majorEastAsia"/>
          <w:szCs w:val="26"/>
        </w:rPr>
      </w:pPr>
      <w:r>
        <w:rPr>
          <w:rFonts w:eastAsia="" w:cs="" w:cstheme="majorBidi" w:eastAsiaTheme="majorEastAsia" w:ascii="Times New Roman" w:hAnsi="Times New Roman"/>
          <w:szCs w:val="26"/>
        </w:rPr>
      </w:r>
    </w:p>
    <w:p>
      <w:pPr>
        <w:pStyle w:val="Heading2"/>
        <w:tabs>
          <w:tab w:val="clear" w:pos="720"/>
          <w:tab w:val="left" w:pos="1305" w:leader="none"/>
        </w:tabs>
        <w:jc w:val="left"/>
        <w:rPr/>
      </w:pPr>
      <w:r>
        <w:rPr/>
        <w:tab/>
      </w:r>
    </w:p>
    <w:p>
      <w:pPr>
        <w:pStyle w:val="Normal"/>
        <w:spacing w:lineRule="auto" w:line="259" w:before="0" w:after="160"/>
        <w:rPr>
          <w:rFonts w:ascii="Times New Roman" w:hAnsi="Times New Roman" w:eastAsia="" w:cs="" w:cstheme="majorBidi" w:eastAsiaTheme="majorEastAsia"/>
          <w:b/>
          <w:b/>
          <w:szCs w:val="26"/>
        </w:rPr>
      </w:pPr>
      <w:r>
        <w:rPr>
          <w:rFonts w:eastAsia="" w:cs="" w:cstheme="majorBidi" w:eastAsiaTheme="majorEastAsia" w:ascii="Times New Roman" w:hAnsi="Times New Roman"/>
          <w:b/>
          <w:szCs w:val="26"/>
        </w:rPr>
      </w:r>
      <w:r>
        <w:br w:type="page"/>
      </w:r>
    </w:p>
    <w:p>
      <w:pPr>
        <w:pStyle w:val="Heading2"/>
        <w:rPr/>
      </w:pPr>
      <w:bookmarkStart w:id="9" w:name="_Toc1055343"/>
      <w:r>
        <w:rPr/>
        <w:t>Table 14.1.2.6</w:t>
        <w:tab/>
        <w:tab/>
        <w:t>Summary of Output Current for all the Visits at Entry(N=49)</w:t>
      </w:r>
      <w:bookmarkEnd w:id="9"/>
    </w:p>
    <w:tbl>
      <w:tblPr>
        <w:tblW w:w="5000" w:type="pct"/>
        <w:jc w:val="center"/>
        <w:tblInd w:w="0" w:type="dxa"/>
        <w:tblCellMar>
          <w:top w:w="0" w:type="dxa"/>
          <w:left w:w="60" w:type="dxa"/>
          <w:bottom w:w="0" w:type="dxa"/>
          <w:right w:w="60" w:type="dxa"/>
        </w:tblCellMar>
        <w:tblLook w:val="0000" w:noHBand="0" w:noVBand="0" w:firstColumn="0" w:lastRow="0" w:lastColumn="0" w:firstRow="0"/>
      </w:tblPr>
      <w:tblGrid>
        <w:gridCol w:w="4675"/>
        <w:gridCol w:w="2657"/>
        <w:gridCol w:w="1877"/>
        <w:gridCol w:w="1876"/>
        <w:gridCol w:w="1875"/>
      </w:tblGrid>
      <w:tr>
        <w:trPr>
          <w:tblHeader w:val="true"/>
          <w:cantSplit w:val="true"/>
        </w:trPr>
        <w:tc>
          <w:tcPr>
            <w:tcW w:w="7332"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5628" w:type="dxa"/>
            <w:gridSpan w:val="3"/>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4675" w:type="dxa"/>
            <w:tcBorders>
              <w:left w:val="single" w:sz="6"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b/>
                <w:b/>
                <w:bCs/>
                <w:color w:val="000000"/>
              </w:rPr>
            </w:pPr>
            <w:r>
              <w:rPr>
                <w:rFonts w:cs="Times New Roman" w:ascii="Times New Roman" w:hAnsi="Times New Roman"/>
                <w:b/>
                <w:bCs/>
                <w:color w:val="000000"/>
              </w:rPr>
              <w:t>Parameters/Visit</w:t>
            </w:r>
          </w:p>
        </w:tc>
        <w:tc>
          <w:tcPr>
            <w:tcW w:w="2657" w:type="dxa"/>
            <w:tcBorders>
              <w:left w:val="single" w:sz="2"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b/>
                <w:b/>
                <w:bCs/>
                <w:color w:val="000000"/>
              </w:rPr>
            </w:pPr>
            <w:r>
              <w:rPr>
                <w:rFonts w:cs="Times New Roman" w:ascii="Times New Roman" w:hAnsi="Times New Roman"/>
                <w:b/>
                <w:bCs/>
                <w:color w:val="000000"/>
              </w:rPr>
              <w:t>Statistics</w:t>
            </w:r>
          </w:p>
        </w:tc>
        <w:tc>
          <w:tcPr>
            <w:tcW w:w="1877"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76"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Enrollment Visit</w:t>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Total No. of Subjects</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26</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26</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1.64</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1.81</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SD</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0.5</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0.5</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Q1</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1.25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1.75</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1.50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Median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1.50</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1.75</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Q3</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2.25</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2.25</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Range (Min.:Max.)</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(0.75:2.75)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(0.75:3.00)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bookmarkStart w:id="10" w:name="_GoBack"/>
            <w:bookmarkEnd w:id="10"/>
            <w:r>
              <w:rPr>
                <w:rFonts w:cs="Times New Roman" w:ascii="Times New Roman" w:hAnsi="Times New Roman"/>
                <w:b/>
                <w:bCs/>
                <w:color w:val="000000"/>
              </w:rPr>
              <w:t>9 Month Follow-up Visit</w:t>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Total No. of Subjects</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22</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18</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22</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18</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1.63</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2.29</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1.93</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SD</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0.57</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0.6</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Q1</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1.25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1.50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Median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1.63</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Q3</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2.75</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Range (Min.:Max.)</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(1.00:2.50)</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12 Month Follow-up Visit</w:t>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Total No. of Subjects</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21</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21</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1.71</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1.98</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SD</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0.6</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0.6</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Q1</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1.25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1.50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Median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1.75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Q3</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2.75</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Range (Min.:Max.)</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18 Month Follow-up Visit</w:t>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Total No. of Subjects</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43</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23</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43</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1.71</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2.25</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1.96</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SD</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0.6</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0.6</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0.6</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Q1</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1.25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1.50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Median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1.75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Q3</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Range (Min.:Max.)</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24 Month Follow-up Visit</w:t>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Total No. of Subjects</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21</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19</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21</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19</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1.71</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2.16</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1.93</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SD</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0.6</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0.7</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0.67</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Q1</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1.25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1.38</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Median</w:t>
            </w:r>
          </w:p>
        </w:tc>
        <w:tc>
          <w:tcPr>
            <w:tcW w:w="1877"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1.75</w:t>
            </w:r>
          </w:p>
        </w:tc>
        <w:tc>
          <w:tcPr>
            <w:tcW w:w="1876"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2.50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4675" w:type="dxa"/>
            <w:tcBorders>
              <w:left w:val="single" w:sz="6"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color w:val="000000"/>
              </w:rPr>
            </w:pPr>
            <w:r>
              <w:rPr>
                <w:rFonts w:cs="Times New Roman" w:ascii="Times New Roman" w:hAnsi="Times New Roman"/>
                <w:color w:val="000000"/>
              </w:rPr>
              <w:t>Q3</w:t>
            </w:r>
          </w:p>
        </w:tc>
        <w:tc>
          <w:tcPr>
            <w:tcW w:w="1877"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t>2.00</w:t>
            </w:r>
          </w:p>
        </w:tc>
        <w:tc>
          <w:tcPr>
            <w:tcW w:w="1876"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t>2.50</w:t>
            </w:r>
          </w:p>
        </w:tc>
        <w:tc>
          <w:tcPr>
            <w:tcW w:w="187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color w:val="000000"/>
              </w:rPr>
            </w:pPr>
            <w:r>
              <w:rPr>
                <w:rFonts w:cs="Times New Roman" w:ascii="Times New Roman" w:hAnsi="Times New Roman"/>
                <w:color w:val="000000"/>
              </w:rPr>
              <w:t>2.50</w:t>
            </w:r>
          </w:p>
        </w:tc>
      </w:tr>
      <w:tr>
        <w:trPr>
          <w:cantSplit w:val="true"/>
        </w:trPr>
        <w:tc>
          <w:tcPr>
            <w:tcW w:w="4675" w:type="dxa"/>
            <w:tcBorders>
              <w:left w:val="single" w:sz="6" w:space="0" w:color="000000"/>
              <w:bottom w:val="single" w:sz="6"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657" w:type="dxa"/>
            <w:tcBorders>
              <w:left w:val="single" w:sz="2" w:space="0" w:color="000000"/>
              <w:bottom w:val="single" w:sz="6"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Range (Min.:Max.)</w:t>
            </w:r>
          </w:p>
        </w:tc>
        <w:tc>
          <w:tcPr>
            <w:tcW w:w="1877" w:type="dxa"/>
            <w:tcBorders>
              <w:left w:val="single" w:sz="2" w:space="0" w:color="000000"/>
              <w:bottom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(1.00:3.00)</w:t>
            </w:r>
          </w:p>
        </w:tc>
        <w:tc>
          <w:tcPr>
            <w:tcW w:w="1876" w:type="dxa"/>
            <w:tcBorders>
              <w:left w:val="single" w:sz="2" w:space="0" w:color="000000"/>
              <w:bottom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(0.50:3.00)</w:t>
            </w:r>
          </w:p>
        </w:tc>
        <w:tc>
          <w:tcPr>
            <w:tcW w:w="1875" w:type="dxa"/>
            <w:tcBorders>
              <w:left w:val="single" w:sz="2" w:space="0" w:color="000000"/>
              <w:bottom w:val="single" w:sz="6"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t>(0.50:3.00)</w:t>
            </w:r>
          </w:p>
        </w:tc>
      </w:tr>
    </w:tbl>
    <w:p>
      <w:pPr>
        <w:pStyle w:val="Normal"/>
        <w:rPr/>
      </w:pPr>
      <w:r>
        <w:rPr/>
      </w:r>
    </w:p>
    <w:p>
      <w:pPr>
        <w:pStyle w:val="Heading2"/>
        <w:tabs>
          <w:tab w:val="clear" w:pos="720"/>
          <w:tab w:val="left" w:pos="1305" w:leader="none"/>
        </w:tabs>
        <w:jc w:val="left"/>
        <w:rPr/>
      </w:pPr>
      <w:r>
        <w:rPr/>
      </w:r>
      <w:r>
        <w:br w:type="page"/>
      </w:r>
    </w:p>
    <w:p>
      <w:pPr>
        <w:pStyle w:val="Heading2"/>
        <w:rPr/>
      </w:pPr>
      <w:bookmarkStart w:id="11" w:name="_Toc1055344"/>
      <w:r>
        <w:rPr/>
        <w:t>Table 14.2.1.1</w:t>
        <w:tab/>
        <w:tab/>
        <w:t>Summary of LVESV and EF at each Visit (core lab data)-ITT Population (N=49)</w:t>
      </w:r>
      <w:bookmarkEnd w:id="11"/>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3470"/>
        <w:gridCol w:w="2372"/>
        <w:gridCol w:w="2372"/>
        <w:gridCol w:w="2371"/>
        <w:gridCol w:w="2375"/>
      </w:tblGrid>
      <w:tr>
        <w:trPr>
          <w:tblHeader w:val="true"/>
          <w:cantSplit w:val="true"/>
        </w:trPr>
        <w:tc>
          <w:tcPr>
            <w:tcW w:w="5842"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7118" w:type="dxa"/>
            <w:gridSpan w:val="3"/>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3470"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2372" w:type="dxa"/>
            <w:tcBorders>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2372"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371"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375"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LVESV</w:t>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Baseline</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103</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102</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33.7</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41.0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65.0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106</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98.0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113</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125</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(59.0:200)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(48.0:191)</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(48.0:200)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9 months Follow-up Visit</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96.9</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89.9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93.7</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44.9</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44.7</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44.4</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96.0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85.5</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118</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(18.0:200)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(29.0:186)</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(18.0:200)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12 months Follow-up Visit</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95.3</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87.2</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91.6</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43.0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43.5</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91.0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73.0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82.0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99.0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122</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(18.0:191)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(37.0:217)</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(18.0:217)</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24 months Follow-up Visit</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102</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77.4</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90.1</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42.8</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97.2</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82.0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126</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116</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(18.0:210)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(32.0:178)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(18.0:210)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Ejection Fraction</w:t>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Baseline</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32.2</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6.43</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8.32</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7.34</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(20.0:40.0)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(20.0:56.0)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(20.0:56.0)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9 months Follow-up Visit</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38.6</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42.1</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40.2</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11.7</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9.77</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10.8</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40.5</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43.0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43.0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(24.0:70.0)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(28.0:63.0)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(24.0:70.0)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12 months Follow-up Visit</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38.7</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40.4</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39.5</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9.79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10.4</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41.0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(20.0:72.0)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(24.0:63.0)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(20.0:72.0)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24 months Follow-up Visit</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38.3</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42.2</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40.2</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9.93</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10.5</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43.0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47.5</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(23.0:70.0)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(18.0:59.0)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(18.0:70.0)</w:t>
            </w:r>
          </w:p>
        </w:tc>
      </w:tr>
      <w:tr>
        <w:trPr>
          <w:cantSplit w:val="true"/>
        </w:trPr>
        <w:tc>
          <w:tcPr>
            <w:tcW w:w="3470"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r>
    </w:tbl>
    <w:p>
      <w:pPr>
        <w:pStyle w:val="Normal"/>
        <w:rPr/>
      </w:pPr>
      <w:r>
        <w:rPr/>
      </w:r>
    </w:p>
    <w:p>
      <w:pPr>
        <w:pStyle w:val="Normal"/>
        <w:spacing w:lineRule="auto" w:line="259" w:before="0" w:after="160"/>
        <w:rPr/>
      </w:pPr>
      <w:r>
        <w:rPr/>
      </w:r>
      <w:r>
        <w:br w:type="page"/>
      </w:r>
    </w:p>
    <w:p>
      <w:pPr>
        <w:pStyle w:val="Heading2"/>
        <w:rPr/>
      </w:pPr>
      <w:bookmarkStart w:id="12" w:name="_Toc1055345"/>
      <w:bookmarkStart w:id="13" w:name="IDX"/>
      <w:bookmarkEnd w:id="13"/>
      <w:r>
        <w:rPr/>
        <w:t>Table 14.2.1.2</w:t>
        <w:tab/>
        <w:tab/>
        <w:t>Summary of Change in LVESV from Baseline (Core lab data)-ITT Population (N=49)</w:t>
      </w:r>
      <w:bookmarkEnd w:id="12"/>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4084"/>
        <w:gridCol w:w="2320"/>
        <w:gridCol w:w="1638"/>
        <w:gridCol w:w="1638"/>
        <w:gridCol w:w="1639"/>
        <w:gridCol w:w="1640"/>
      </w:tblGrid>
      <w:tr>
        <w:trPr>
          <w:tblHeader w:val="true"/>
          <w:cantSplit w:val="true"/>
        </w:trPr>
        <w:tc>
          <w:tcPr>
            <w:tcW w:w="6404"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6555" w:type="dxa"/>
            <w:gridSpan w:val="4"/>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4084"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2320" w:type="dxa"/>
            <w:tcBorders>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163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63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1639"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640"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-1.26</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-15.4</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-7.80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26.8</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(-46.0:56.0)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(-72.0:30.0)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(-72.0:56.0)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-1.39</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-13.9</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12.5</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7.94</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(-3.48: 28.6)</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0.12</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0.8268</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0.0243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-7.23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-14.2</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-10.4</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(-49.0:64.0)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(-80.0:33.0)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(-80.0:64.0)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-7.23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-14.2</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7.02</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7.21</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(-7.52: 21.6)</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0.34</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0.1511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0.0143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-2.27</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-18.7</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20.2</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25.9</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-12.5</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-30.8</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-5.50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-9.70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9.61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(-46.0:51.0)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(-81.0:31.0)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(-81.0:51.0)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9.85</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7.41</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(-5.18: 24.9)</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0.19</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0.6199</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0.0056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12959" w:type="dxa"/>
            <w:gridSpan w:val="6"/>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[1] Difference estimate indicate Difference [(Right Sided) – (Left Sided)].</w:t>
              <w:br/>
              <w:t>[2] SE indicates Standard Error of Differences [[(Right Sided) – (Left Sided)].</w:t>
              <w:br/>
              <w:t>[3] Mean change in LVESD was compared between the two VNS Therapy System using Mixed Model for Repeated Measures (MMRM)</w:t>
              <w:br/>
              <w:t>    , with VNS Therapy System (Right/Left Sided),Visit, VNS Therapy System*Visit as factors.</w:t>
              <w:br/>
              <w:t>[4] P-value for comparing baseline assessment to consecutive visits i.e.9 month vs. baseline, 12 month vs. baseline, 24 month vs.</w:t>
              <w:br/>
              <w:t>    baseline) computed from paired t-test.</w:t>
            </w:r>
          </w:p>
        </w:tc>
      </w:tr>
    </w:tbl>
    <w:p>
      <w:pPr>
        <w:pStyle w:val="Normal"/>
        <w:rPr/>
      </w:pPr>
      <w:r>
        <w:rPr/>
      </w:r>
    </w:p>
    <w:p>
      <w:pPr>
        <w:pStyle w:val="Normal"/>
        <w:spacing w:lineRule="auto" w:line="259" w:before="0" w:after="160"/>
        <w:rPr/>
      </w:pPr>
      <w:r>
        <w:rPr/>
      </w:r>
      <w:r>
        <w:br w:type="page"/>
      </w:r>
    </w:p>
    <w:p>
      <w:pPr>
        <w:pStyle w:val="Heading2"/>
        <w:rPr/>
      </w:pPr>
      <w:r>
        <w:rPr/>
        <w:tab/>
      </w:r>
      <w:bookmarkStart w:id="14" w:name="_Toc1055346"/>
      <w:r>
        <w:rPr/>
        <w:t>Table 14.2.1.2c_a</w:t>
        <w:tab/>
        <w:tab/>
        <w:t>Summary of Change in LVESV from Baseline (Core lab data) (Pooled Analysis)-ITT Population -(N=49)</w:t>
      </w:r>
      <w:bookmarkEnd w:id="14"/>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6594"/>
        <w:gridCol w:w="3742"/>
        <w:gridCol w:w="2624"/>
      </w:tblGrid>
      <w:tr>
        <w:trPr>
          <w:tblHeader w:val="true"/>
          <w:cantSplit w:val="true"/>
        </w:trPr>
        <w:tc>
          <w:tcPr>
            <w:tcW w:w="6594" w:type="dxa"/>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3742" w:type="dxa"/>
            <w:tcBorders>
              <w:top w:val="single" w:sz="6" w:space="0" w:color="000000"/>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2624" w:type="dxa"/>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br/>
              <w:t>(N=49)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-7.80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26.8</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(-72.0:56.0)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(-15.9: 0.339)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0.0774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(-80.0:64.0)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(-17.7: -3.20)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0.0056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-9.70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(-81.0:51.0)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(-17.9: -3.08)</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0.0119</w:t>
            </w:r>
          </w:p>
        </w:tc>
      </w:tr>
      <w:tr>
        <w:trPr>
          <w:cantSplit w:val="true"/>
        </w:trPr>
        <w:tc>
          <w:tcPr>
            <w:tcW w:w="12960" w:type="dxa"/>
            <w:gridSpan w:val="3"/>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LS Mean Estimate, SE and p-value for Mean change was compared for visit using Mixed Model for Repeated Measures (MMRM)</w:t>
              <w:br/>
              <w:t>    ANOVA with visit as only factor.</w:t>
              <w:br/>
              <w:t>[2] P-value for comparing baseline assessment to consecutive visits i.e.9 month vs. baseline, 12 month vs. baseline, 24 month vs.</w:t>
              <w:br/>
              <w:t>    baseline) computed from paired t-test.</w:t>
              <w:br/>
              <w:br/>
            </w:r>
            <w:r>
              <w:rPr>
                <w:rFonts w:cs="Times New Roman" w:ascii="Times New Roman" w:hAnsi="Times New Roman"/>
                <w:b/>
                <w:bCs/>
                <w:color w:val="000000"/>
              </w:rPr>
              <w:t>General Note:</w:t>
            </w:r>
            <w:r>
              <w:rPr>
                <w:rFonts w:cs="Times New Roman" w:ascii="Times New Roman" w:hAnsi="Times New Roman"/>
                <w:color w:val="000000"/>
              </w:rPr>
              <w:br/>
              <w:t>&gt; As interaction has not been significant, Right sided and Left sided implant groups has been pooled for this analysis by</w:t>
              <w:br/>
              <w:t>   omitting all factors involving side of the implant from ANOVA.</w:t>
            </w:r>
          </w:p>
        </w:tc>
      </w:tr>
    </w:tbl>
    <w:p>
      <w:pPr>
        <w:pStyle w:val="Normal"/>
        <w:rPr/>
      </w:pPr>
      <w:r>
        <w:rPr/>
      </w:r>
    </w:p>
    <w:p>
      <w:pPr>
        <w:pStyle w:val="Normal"/>
        <w:spacing w:lineRule="auto" w:line="259" w:before="0" w:after="160"/>
        <w:rPr/>
      </w:pPr>
      <w:r>
        <w:rPr/>
      </w:r>
    </w:p>
    <w:p>
      <w:pPr>
        <w:pStyle w:val="Normal"/>
        <w:spacing w:lineRule="auto" w:line="259" w:before="0" w:after="160"/>
        <w:rPr/>
      </w:pPr>
      <w:r>
        <w:rPr/>
      </w:r>
      <w:r>
        <w:br w:type="page"/>
      </w:r>
    </w:p>
    <w:p>
      <w:pPr>
        <w:pStyle w:val="Heading2"/>
        <w:rPr/>
      </w:pPr>
      <w:bookmarkStart w:id="15" w:name="_Toc1055347"/>
      <w:r>
        <w:rPr/>
        <w:t>Table 14.2.1.3c</w:t>
        <w:tab/>
        <w:tab/>
        <w:t>Summary of Change in in Ejection Fraction (EF) from Baseline (Core Lab data)-ITT Population(N=49)</w:t>
      </w:r>
      <w:bookmarkEnd w:id="15"/>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4084"/>
        <w:gridCol w:w="2320"/>
        <w:gridCol w:w="1638"/>
        <w:gridCol w:w="1638"/>
        <w:gridCol w:w="1639"/>
        <w:gridCol w:w="1640"/>
      </w:tblGrid>
      <w:tr>
        <w:trPr>
          <w:tblHeader w:val="true"/>
          <w:cantSplit w:val="true"/>
        </w:trPr>
        <w:tc>
          <w:tcPr>
            <w:tcW w:w="6404"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6555" w:type="dxa"/>
            <w:gridSpan w:val="4"/>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4084"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2320" w:type="dxa"/>
            <w:tcBorders>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163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63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1639"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640"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5.67</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7.94</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6.72</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8.90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8.91</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6.50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(-4.00:32.0)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(-5.00:31.0)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(-5.00:32.0)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5.76</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7.42</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-1.66</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2.61</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(-6.93: 3.61)</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0.53</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0.0091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0.0015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6.64</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5.76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6.24</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8.60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5.60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7.32</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(-6.00:34.0)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(-4.00:17.0)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(-6.00:34.0)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6.64</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5.76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0.878</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2.11</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(-3.38: 5.14)</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0.68</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0.0007</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0.0001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6.05</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6.84</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6.43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8.51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11.5</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(-8.00:30.0)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(-5.00:19.0)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(-8.00:30.0)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5.66</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6.54</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-0.879</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(-5.72: 3.96)</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0.72</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0.0039</w:t>
            </w:r>
          </w:p>
        </w:tc>
        <w:tc>
          <w:tcPr>
            <w:tcW w:w="1638"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0.0012</w:t>
            </w:r>
          </w:p>
        </w:tc>
        <w:tc>
          <w:tcPr>
            <w:tcW w:w="1640"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59" w:type="dxa"/>
            <w:gridSpan w:val="6"/>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[1] Difference estimate indicate Difference [(Right Sided) – (Left Sided)].</w:t>
              <w:br/>
              <w:t>[2] SE indicates Standard Error of Differences [[(Right Sided) – (Left Sided)].</w:t>
              <w:br/>
              <w:t>[3] Mean change in LVESD was compared between the two VNS Therapy System using Mixed Model for Repeated Measures (MMRM)</w:t>
              <w:br/>
              <w:t>    , with VNS Therapy System (Right/Left Sided),Visit, VNS Therapy System*Visit as factors.</w:t>
              <w:br/>
              <w:t>[4] P-value for comparing baseline assessment to consecutive visits i.e.9 month vs. baseline, 12 month vs. baseline, 24 month vs.</w:t>
              <w:br/>
              <w:t>    baseline) computed from paired t-test.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rPr/>
      </w:pPr>
      <w:bookmarkStart w:id="16" w:name="_Toc1055348"/>
      <w:r>
        <w:rPr/>
        <w:t>Table 14.2.1.3c_a</w:t>
        <w:tab/>
        <w:tab/>
        <w:t>Summary of Change in Ejection Fraction (EF) from Baseline (Core Lab data) (Pooled Analysis) -IIT Population -(N=49)</w:t>
      </w:r>
      <w:bookmarkEnd w:id="16"/>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6594"/>
        <w:gridCol w:w="3742"/>
        <w:gridCol w:w="2624"/>
      </w:tblGrid>
      <w:tr>
        <w:trPr>
          <w:tblHeader w:val="true"/>
          <w:cantSplit w:val="true"/>
        </w:trPr>
        <w:tc>
          <w:tcPr>
            <w:tcW w:w="6594" w:type="dxa"/>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3742" w:type="dxa"/>
            <w:tcBorders>
              <w:top w:val="single" w:sz="6" w:space="0" w:color="000000"/>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2624" w:type="dxa"/>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br/>
              <w:t>(N=49)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6.72</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8.91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(-5.00:32.0)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6.51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(3.91: 9.12)</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6.24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7.32</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(-6.00:34.0)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6.24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1.08</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(4.07: 8.41)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6.43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(-8.00:30.0)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(3.71: 8.48)</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12960" w:type="dxa"/>
            <w:gridSpan w:val="3"/>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LS Mean Estimate, SE and p-value for Mean change was compared for visit using Mixed Model for Repeated Measures (MMRM)</w:t>
              <w:br/>
              <w:t>    ANOVA with visit as only factor.</w:t>
              <w:br/>
              <w:t>[2] P-value for comparing baseline assessment to consecutive visits i.e.9 month vs. baseline, 12 month vs. baseline, 24 month vs.</w:t>
              <w:br/>
              <w:t>    baseline) computed from paired t-test.</w:t>
            </w:r>
          </w:p>
        </w:tc>
      </w:tr>
    </w:tbl>
    <w:p>
      <w:pPr>
        <w:pStyle w:val="Normal"/>
        <w:rPr/>
      </w:pPr>
      <w:r>
        <w:rPr/>
      </w:r>
    </w:p>
    <w:p>
      <w:pPr>
        <w:pStyle w:val="Heading2"/>
        <w:rPr/>
      </w:pPr>
      <w:bookmarkStart w:id="17" w:name="_Toc1055349"/>
      <w:r>
        <w:rPr/>
        <w:t>Table 14.2.2.1c</w:t>
        <w:tab/>
        <w:tab/>
        <w:t>Summary of Left Ventricular End Systolic Dimensions (cm) (LVESD) (Core lab data)-ITT Population(N=49)</w:t>
      </w:r>
      <w:bookmarkEnd w:id="17"/>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3470"/>
        <w:gridCol w:w="2372"/>
        <w:gridCol w:w="2372"/>
        <w:gridCol w:w="2371"/>
        <w:gridCol w:w="2375"/>
      </w:tblGrid>
      <w:tr>
        <w:trPr>
          <w:tblHeader w:val="true"/>
          <w:cantSplit w:val="true"/>
        </w:trPr>
        <w:tc>
          <w:tcPr>
            <w:tcW w:w="5842"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bookmarkStart w:id="18" w:name="IDX1"/>
            <w:bookmarkStart w:id="19" w:name="IDX1"/>
            <w:bookmarkEnd w:id="19"/>
          </w:p>
        </w:tc>
        <w:tc>
          <w:tcPr>
            <w:tcW w:w="7118" w:type="dxa"/>
            <w:gridSpan w:val="3"/>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3470"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2372" w:type="dxa"/>
            <w:tcBorders>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2372"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371"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375"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Baseline</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5.03</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5.02</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5.02</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0.7</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5.50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5.50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5.50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(3.31:7.20)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(3.80:6.30)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(3.31:7.20)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9 months Follow-up Visit</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4.71</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4.82</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4.65</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(3.10:6.20)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(3.40:6.50)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(3.10:6.50)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12 months Follow-up Visit</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4.78</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4.82</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4.30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4.35</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5.30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(2.80:6.20)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(3.20:7.10)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(2.80:7.10)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24 months Follow-up Visit</w:t>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5.08</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4.72</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0.7</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4.10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5.55</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5.40</w:t>
            </w:r>
          </w:p>
        </w:tc>
      </w:tr>
      <w:tr>
        <w:trPr>
          <w:cantSplit w:val="true"/>
        </w:trPr>
        <w:tc>
          <w:tcPr>
            <w:tcW w:w="3470"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72"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(3.80:6.70)</w:t>
            </w:r>
          </w:p>
        </w:tc>
        <w:tc>
          <w:tcPr>
            <w:tcW w:w="2371"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(3.50:6.20)</w:t>
            </w:r>
          </w:p>
        </w:tc>
        <w:tc>
          <w:tcPr>
            <w:tcW w:w="2375"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(3.50:6.70)</w:t>
            </w:r>
          </w:p>
        </w:tc>
      </w:tr>
      <w:tr>
        <w:trPr>
          <w:cantSplit w:val="true"/>
        </w:trPr>
        <w:tc>
          <w:tcPr>
            <w:tcW w:w="3470"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2"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1"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75"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r>
    </w:tbl>
    <w:p>
      <w:pPr>
        <w:pStyle w:val="Normal"/>
        <w:rPr/>
      </w:pPr>
      <w:r>
        <w:rPr/>
      </w:r>
      <w:r>
        <w:br w:type="page"/>
      </w:r>
    </w:p>
    <w:p>
      <w:pPr>
        <w:pStyle w:val="Heading2"/>
        <w:rPr/>
      </w:pPr>
      <w:bookmarkStart w:id="20" w:name="_Toc1055350"/>
      <w:r>
        <w:rPr/>
        <w:t>Table 14.2.2.2c</w:t>
        <w:tab/>
        <w:tab/>
        <w:t>Summary of Change in LVESD from Baseline-(Core lab data) -ITT Population(N=49)</w:t>
      </w:r>
      <w:bookmarkEnd w:id="20"/>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4084"/>
        <w:gridCol w:w="2320"/>
        <w:gridCol w:w="1638"/>
        <w:gridCol w:w="1638"/>
        <w:gridCol w:w="1639"/>
        <w:gridCol w:w="1640"/>
      </w:tblGrid>
      <w:tr>
        <w:trPr>
          <w:tblHeader w:val="true"/>
          <w:cantSplit w:val="true"/>
        </w:trPr>
        <w:tc>
          <w:tcPr>
            <w:tcW w:w="6404"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6555" w:type="dxa"/>
            <w:gridSpan w:val="4"/>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4084"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2320" w:type="dxa"/>
            <w:tcBorders>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163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63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1639"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640"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-0.0243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-0.303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-0.153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0.434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0.461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0.463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(-1.03:0.70)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(-1.10:0.70)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(-1.10:0.70)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-0.0625</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-0.236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0.174</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0.141</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(-0.111: 0.459)</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0.23</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0.8004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0.0127</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-0.032</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-0.155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-0.0921</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0.446</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0.556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-0.335</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(-1.10:0.70)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(-1.60:1.50)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(-1.60:1.50)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-0.188</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-0.183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-0.00467</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0.15</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(-0.308: 0.299)</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0.98</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0.0552</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0.1353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-0.032</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-0.155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-0.0921</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0.446</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0.556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-0.335</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(-1.10:0.70)</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(-1.60:1.50)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(-1.60:1.50)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-0.0504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-0.0558</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0.0054</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0.189</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(-0.383: 0.394)</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0.98</w:t>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0.7517</w:t>
            </w:r>
          </w:p>
        </w:tc>
        <w:tc>
          <w:tcPr>
            <w:tcW w:w="1638"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0.3186</w:t>
            </w:r>
          </w:p>
        </w:tc>
        <w:tc>
          <w:tcPr>
            <w:tcW w:w="1640"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12959" w:type="dxa"/>
            <w:gridSpan w:val="6"/>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Difference estimate indicate Difference [(Right Sided) – (Left Sided)].</w:t>
              <w:br/>
              <w:t>[2] SE indicates Standard Error of Differences [[(Right Sided) – (Left Sided)].</w:t>
              <w:br/>
              <w:t>[3] Mean change in LVESD was compared between the two VNS Therapy System using Mixed Model for Repeated Measures (MMRM)</w:t>
              <w:br/>
              <w:t>    , with VNS Therapy System (Right/Left Sided),Visit, VNS Therapy System*Visit as factors.</w:t>
              <w:br/>
              <w:t>[4] P-value for comparing baseline assessment to consecutive visits i.e.9 month vs. baseline, 12 month vs. baseline, 24 month vs.</w:t>
              <w:br/>
              <w:t>    baseline) computed from paired t-test.</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21" w:name="_Toc1055351"/>
      <w:r>
        <w:rPr/>
        <w:t>Table 14.2.2.2c_a</w:t>
        <w:tab/>
        <w:tab/>
        <w:t>Summary of LVESD (Pooled Analysis (Core Lab data)) -IIT Population -(N=49)</w:t>
      </w:r>
      <w:bookmarkEnd w:id="21"/>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6594"/>
        <w:gridCol w:w="3742"/>
        <w:gridCol w:w="2624"/>
      </w:tblGrid>
      <w:tr>
        <w:trPr>
          <w:tblHeader w:val="true"/>
          <w:cantSplit w:val="true"/>
        </w:trPr>
        <w:tc>
          <w:tcPr>
            <w:tcW w:w="6594" w:type="dxa"/>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3742" w:type="dxa"/>
            <w:tcBorders>
              <w:top w:val="single" w:sz="6" w:space="0" w:color="000000"/>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2624" w:type="dxa"/>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br/>
              <w:t>(N=49)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(-1.10:0.70)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0.07</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(-0.28: 0.01)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0.07</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0.0461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(-1.33:0.90)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0.07</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(-0.33: -0.04)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0.0145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(-1.60:1.50)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-0.07</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(-0.25: 0.11)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0.46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0.3080</w:t>
            </w:r>
          </w:p>
        </w:tc>
      </w:tr>
      <w:tr>
        <w:trPr>
          <w:cantSplit w:val="true"/>
        </w:trPr>
        <w:tc>
          <w:tcPr>
            <w:tcW w:w="12960" w:type="dxa"/>
            <w:gridSpan w:val="3"/>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LS Mean Estimate, SE and p-value for Mean change was compared for visit using Mixed Model for Repeated Measures (MMRM)</w:t>
              <w:br/>
              <w:t>    ANOVA with visit as only factor.</w:t>
              <w:br/>
              <w:t>[2] P-value for comparing baseline assessment to consecutive visits i.e.9 month vs. baseline, 12 month vs. baseline, 24 month vs.</w:t>
              <w:br/>
              <w:t>    baseline) computed from paired t-test.</w:t>
            </w:r>
          </w:p>
        </w:tc>
      </w:tr>
    </w:tbl>
    <w:p>
      <w:pPr>
        <w:pStyle w:val="Normal"/>
        <w:rPr/>
      </w:pPr>
      <w:r>
        <w:rPr/>
      </w:r>
    </w:p>
    <w:p>
      <w:pPr>
        <w:pStyle w:val="Normal"/>
        <w:rPr/>
      </w:pPr>
      <w:r>
        <w:rPr/>
      </w:r>
    </w:p>
    <w:p>
      <w:pPr>
        <w:pStyle w:val="Heading2"/>
        <w:rPr/>
      </w:pPr>
      <w:bookmarkStart w:id="22" w:name="_Toc1055352"/>
      <w:r>
        <w:rPr/>
        <w:t>Table 14.2.2.3.4</w:t>
        <w:tab/>
        <w:tab/>
        <w:t>Summary of 6 Minute Walk for the Distance Covered -ITT Population (N=49)</w:t>
      </w:r>
      <w:bookmarkEnd w:id="22"/>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3115"/>
        <w:gridCol w:w="2641"/>
        <w:gridCol w:w="2400"/>
        <w:gridCol w:w="2401"/>
        <w:gridCol w:w="2403"/>
      </w:tblGrid>
      <w:tr>
        <w:trPr>
          <w:tblHeader w:val="true"/>
          <w:cantSplit w:val="true"/>
        </w:trPr>
        <w:tc>
          <w:tcPr>
            <w:tcW w:w="5756"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7204" w:type="dxa"/>
            <w:gridSpan w:val="3"/>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3115" w:type="dxa"/>
            <w:tcBorders>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2641"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2400"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401"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Baseline</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Distance Covered (meters)</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296</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73.6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58.7</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67.2</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307</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309</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329</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(140: 440)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 361)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 440)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(245: 305)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(270: 321)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(265: 304)</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Subject stop or pause before 6 minutes[1]</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Yes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 (7.69 %)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 (8.70 %)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 (8.16 %)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 (92.3 %)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 (91.3 %)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 (91.8 %)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9 Month follow up</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Distance Covered (meters)</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353</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48.7</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347</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343</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(245: 480)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(175: 393)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(175: 480)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(331: 375)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(299: 348)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 356)</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Subject stop or pause before 6 minutes[1]</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Yes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 (90.9 %)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 (100 %)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 (95.0 %)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12 Month follow up</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Distance Covered (meters)</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352</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68.4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50.4</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62.2</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353</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389</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373</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(194: 500)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(234: 480)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(194: 500)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(338: 394)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(312: 358)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(333: 370)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Subject stop or pause before 6 minutes[1]</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Yes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 (96.0 %)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 (100 %)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 (97.8 %)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24 Month follow up</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Distance Covered (meters)</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377</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58.9</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91.1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78.7</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333</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318</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371</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415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(270: 481)</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425)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481)</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(349: 404)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(287: 375)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(329: 380)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Subject stop or pause before 6 minutes[1]</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Yes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No</w:t>
            </w:r>
          </w:p>
        </w:tc>
        <w:tc>
          <w:tcPr>
            <w:tcW w:w="2400"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20 (95.2 %)</w:t>
            </w:r>
          </w:p>
        </w:tc>
        <w:tc>
          <w:tcPr>
            <w:tcW w:w="2401"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18 (94.7 %)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38 (95.0 %)</w:t>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Respective visit counts is used as denominator for percentage calculation.</w:t>
              <w:br/>
              <w:br/>
            </w:r>
            <w:r>
              <w:rPr>
                <w:rFonts w:cs="Times New Roman" w:ascii="Times New Roman" w:hAnsi="Times New Roman"/>
                <w:b/>
                <w:bCs/>
                <w:color w:val="000000"/>
              </w:rPr>
              <w:t>General Note:</w:t>
            </w:r>
            <w:r>
              <w:rPr>
                <w:rFonts w:cs="Times New Roman" w:ascii="Times New Roman" w:hAnsi="Times New Roman"/>
                <w:color w:val="000000"/>
              </w:rPr>
              <w:br/>
              <w:t>&gt; Baseline value was defined as average of the all baseline 6-minute walk tests. If those values are within 10% of each other, otherwise</w:t>
              <w:br/>
              <w:t>  the last available 6-minute walk test was used.</w:t>
            </w:r>
          </w:p>
        </w:tc>
      </w:tr>
    </w:tbl>
    <w:p>
      <w:pPr>
        <w:pStyle w:val="Normal"/>
        <w:rPr/>
      </w:pPr>
      <w:r>
        <w:rPr/>
      </w:r>
    </w:p>
    <w:p>
      <w:pPr>
        <w:pStyle w:val="Normal"/>
        <w:rPr/>
      </w:pPr>
      <w:r>
        <w:rPr/>
      </w:r>
    </w:p>
    <w:p>
      <w:pPr>
        <w:pStyle w:val="Normal"/>
        <w:rPr/>
      </w:pPr>
      <w:r>
        <w:rPr/>
      </w:r>
    </w:p>
    <w:p>
      <w:pPr>
        <w:pStyle w:val="Normal"/>
        <w:rPr/>
      </w:pPr>
      <w:r>
        <w:rPr/>
      </w:r>
      <w:r>
        <w:br w:type="page"/>
      </w:r>
    </w:p>
    <w:p>
      <w:pPr>
        <w:pStyle w:val="Heading2"/>
        <w:rPr/>
      </w:pPr>
      <w:bookmarkStart w:id="23" w:name="_Toc1055353"/>
      <w:r>
        <w:rPr/>
        <w:t>Table14.2.2.3.4-a</w:t>
        <w:tab/>
        <w:tab/>
        <w:t>Summary of Change in 6 Minute Walk for the Distance Covered - ITT Population (N=49)</w:t>
      </w:r>
      <w:bookmarkEnd w:id="23"/>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2310"/>
        <w:gridCol w:w="2315"/>
        <w:gridCol w:w="2084"/>
        <w:gridCol w:w="2082"/>
        <w:gridCol w:w="2084"/>
        <w:gridCol w:w="2084"/>
      </w:tblGrid>
      <w:tr>
        <w:trPr>
          <w:tblHeader w:val="true"/>
          <w:cantSplit w:val="true"/>
        </w:trPr>
        <w:tc>
          <w:tcPr>
            <w:tcW w:w="4625"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8334" w:type="dxa"/>
            <w:gridSpan w:val="4"/>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2310" w:type="dxa"/>
            <w:tcBorders>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2315"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2084"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08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084"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 follow up</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76.9</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31.3</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55.8</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58.8</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49.4</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58.7</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45.5</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109</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(-24.0: 202)</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(-44.0: 102)</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(-44.0: 202)</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68.6</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(1.42: 74.7)</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0.0422</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0.0156</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 follow up</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90.7</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38.1</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66.7</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77.2</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52.7</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71.5</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52.3</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115</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(-19.0: 314)</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(-46.0: 154)</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(-46.0: 314)</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89.9</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38.1</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51.7</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(13.3: 90.1)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0.00942</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0.0035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 follow up</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95.3</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37.6</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67.2</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49.6</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70.9</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22.5</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86.5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52.5</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138</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101</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 314)</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 134)</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 314)</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91.2</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36.3</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54.9</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(14.3: 95.5)</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0.00938</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[4]</w:t>
            </w:r>
          </w:p>
        </w:tc>
        <w:tc>
          <w:tcPr>
            <w:tcW w:w="2084"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&lt;.0001</w:t>
            </w:r>
          </w:p>
        </w:tc>
        <w:tc>
          <w:tcPr>
            <w:tcW w:w="2082"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0.0039</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12959" w:type="dxa"/>
            <w:gridSpan w:val="6"/>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Difference estimate indicate Difference [(Right Sided) – (Left Sided)].</w:t>
              <w:br/>
              <w:t>[2] SE indicates Standard Error of Differences [[(Right Sided) – (Left Sided)].</w:t>
              <w:br/>
              <w:t>[3] Mean change in Distance Covered was compared between the two VNS Therapy System using Mixed Model for Repeated Measures (MMRM), with VNS</w:t>
              <w:br/>
              <w:t>    Therapy System (Right/Left Sided), Visit, VNS Therapy System*Visit as factors.</w:t>
              <w:br/>
              <w:t>[4] P-value for comparing baseline assessment to consecutive visits i.e.9 month vs. baseline, 12 month vs. baseline, 24 month vs.</w:t>
              <w:br/>
              <w:t>    baseline) computed from paired t-test.</w:t>
              <w:br/>
              <w:br/>
            </w:r>
            <w:r>
              <w:rPr>
                <w:rFonts w:cs="Times New Roman" w:ascii="Times New Roman" w:hAnsi="Times New Roman"/>
                <w:b/>
                <w:bCs/>
                <w:color w:val="000000"/>
              </w:rPr>
              <w:t>General Note:</w:t>
            </w:r>
            <w:r>
              <w:rPr>
                <w:rFonts w:cs="Times New Roman" w:ascii="Times New Roman" w:hAnsi="Times New Roman"/>
                <w:color w:val="000000"/>
              </w:rPr>
              <w:br/>
              <w:t>&gt; If the interaction is not significant, Right-sided and Left sided implant groups was pooled for further analysis by omitting all</w:t>
              <w:br/>
              <w:t>  factors involving side of the implant from ANOVA.</w:t>
              <w:br/>
              <w:t>&gt; Baseline value was defined as average of the all baseline 6-minute walk tests. If those values are within 10% of each other,</w:t>
              <w:br/>
              <w:t>  otherwise the last available 6-minute walk test will be used.</w:t>
            </w:r>
          </w:p>
        </w:tc>
      </w:tr>
    </w:tbl>
    <w:p>
      <w:pPr>
        <w:pStyle w:val="Normal"/>
        <w:rPr/>
      </w:pPr>
      <w:r>
        <w:rPr/>
      </w:r>
    </w:p>
    <w:p>
      <w:pPr>
        <w:pStyle w:val="Normal"/>
        <w:rPr/>
      </w:pPr>
      <w:r>
        <w:rPr/>
      </w:r>
    </w:p>
    <w:p>
      <w:pPr>
        <w:pStyle w:val="Normal"/>
        <w:rPr/>
      </w:pPr>
      <w:r>
        <w:rPr/>
      </w:r>
    </w:p>
    <w:p>
      <w:pPr>
        <w:pStyle w:val="Normal"/>
        <w:spacing w:before="10" w:after="10"/>
        <w:rPr/>
      </w:pPr>
      <w:r>
        <w:rPr/>
      </w:r>
      <w:r>
        <w:br w:type="page"/>
      </w:r>
    </w:p>
    <w:p>
      <w:pPr>
        <w:pStyle w:val="Heading2"/>
        <w:rPr/>
      </w:pPr>
      <w:r>
        <w:rPr/>
        <w:tab/>
      </w:r>
      <w:bookmarkStart w:id="24" w:name="_Toc1055354"/>
      <w:r>
        <w:rPr/>
        <w:t>Table 14.2.2.3.4-b</w:t>
        <w:tab/>
        <w:tab/>
        <w:t>Summary of Change in 6 Minute Walk for the Distance Covered (Pooled Analysis) - ITT Population (N=49)</w:t>
      </w:r>
      <w:bookmarkEnd w:id="24"/>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4149"/>
        <w:gridCol w:w="4153"/>
        <w:gridCol w:w="4658"/>
      </w:tblGrid>
      <w:tr>
        <w:trPr>
          <w:tblHeader w:val="true"/>
          <w:cantSplit w:val="true"/>
        </w:trPr>
        <w:tc>
          <w:tcPr>
            <w:tcW w:w="4149" w:type="dxa"/>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4153" w:type="dxa"/>
            <w:tcBorders>
              <w:top w:val="single" w:sz="6" w:space="0" w:color="000000"/>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4658" w:type="dxa"/>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br/>
              <w:t>(n=49)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55.8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58.7</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(-44.0: 202)</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9.36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(32.6: 70.5)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66.7</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71.5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(-46.0: 314)</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(45.5: 87.6)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67.2</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 314)</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11.2</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(41.3: 86.5)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12960" w:type="dxa"/>
            <w:gridSpan w:val="3"/>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LS Mean Estimate, SE and p-value for Mean change in Distance Covered was compared for visit using Mixed Model</w:t>
              <w:br/>
              <w:t>    for Repeated Measures (MMRM) ANOVA with visit as only factor</w:t>
              <w:br/>
              <w:t>[2] P-value for comparing baseline assessment to consecutive visits i.e.9 month vs. baseline, 12 month vs. baseline, 24 month vs.</w:t>
              <w:br/>
              <w:t>    baseline) computed from paired t-test.</w:t>
              <w:br/>
              <w:br/>
            </w:r>
            <w:r>
              <w:rPr>
                <w:rFonts w:cs="Times New Roman" w:ascii="Times New Roman" w:hAnsi="Times New Roman"/>
                <w:b/>
                <w:bCs/>
                <w:color w:val="000000"/>
              </w:rPr>
              <w:t>General Note:</w:t>
            </w:r>
            <w:r>
              <w:rPr>
                <w:rFonts w:cs="Times New Roman" w:ascii="Times New Roman" w:hAnsi="Times New Roman"/>
                <w:color w:val="000000"/>
              </w:rPr>
              <w:br/>
              <w:t>&gt; As interaction has not been significant, Right-sided and Left sided implant groups has been pooled for this analysis</w:t>
              <w:br/>
              <w:t>  by omitting all factors involving side of the implant from ANOVA.</w:t>
              <w:br/>
              <w:t>&gt; Baseline value was defined as average of the all baseline 6-minute walk tests. If those values are within 10% of each other,</w:t>
              <w:br/>
              <w:t>  otherwise the last available 6-minute walk test have been used.</w:t>
            </w:r>
          </w:p>
        </w:tc>
      </w:tr>
    </w:tbl>
    <w:p>
      <w:pPr>
        <w:pStyle w:val="Normal"/>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Heading2"/>
        <w:rPr/>
      </w:pPr>
      <w:bookmarkStart w:id="25" w:name="_Toc1055355"/>
      <w:r>
        <w:rPr/>
        <w:t>Table 14.2.2.4</w:t>
        <w:tab/>
        <w:tab/>
        <w:t>Summary of Minnesota Living with Heart Failure (QOL) Questionnaire (Overall) -ITT Population (N=49)</w:t>
      </w:r>
      <w:bookmarkEnd w:id="25"/>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2589"/>
        <w:gridCol w:w="2592"/>
        <w:gridCol w:w="2592"/>
        <w:gridCol w:w="2592"/>
        <w:gridCol w:w="2595"/>
      </w:tblGrid>
      <w:tr>
        <w:trPr>
          <w:tblHeader w:val="true"/>
          <w:cantSplit w:val="true"/>
        </w:trPr>
        <w:tc>
          <w:tcPr>
            <w:tcW w:w="5181"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7779" w:type="dxa"/>
            <w:gridSpan w:val="3"/>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2589" w:type="dxa"/>
            <w:tcBorders>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Baseline</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41.2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39.2</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10.8</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(22.0: 70.0)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 60.0)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 70.0)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9 Month follow up</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17.8</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19.2</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6.79</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10.6</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8.63</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 32.0)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 47.0)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 47.0)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12 Month follow up</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18.4</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8.46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9.46</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8.84</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 47.0)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 39.0)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 47.0)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24 Month follow up</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20.4</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22.6</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12.2</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 61.0)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 52.0)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 61.0)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r>
    </w:tbl>
    <w:p>
      <w:pPr>
        <w:pStyle w:val="Normal"/>
        <w:rPr/>
      </w:pPr>
      <w:r>
        <w:rPr/>
      </w:r>
    </w:p>
    <w:p>
      <w:pPr>
        <w:pStyle w:val="Normal"/>
        <w:rPr/>
      </w:pPr>
      <w:r>
        <w:rPr/>
      </w:r>
    </w:p>
    <w:p>
      <w:pPr>
        <w:pStyle w:val="Normal"/>
        <w:rPr/>
      </w:pPr>
      <w:r>
        <w:rPr/>
      </w:r>
    </w:p>
    <w:p>
      <w:pPr>
        <w:pStyle w:val="Normal"/>
        <w:spacing w:lineRule="auto" w:line="259" w:before="0" w:after="160"/>
        <w:rPr>
          <w:rFonts w:ascii="Times New Roman" w:hAnsi="Times New Roman" w:eastAsia="" w:cs="" w:cstheme="majorBidi" w:eastAsiaTheme="majorEastAsia"/>
          <w:b/>
          <w:b/>
          <w:szCs w:val="26"/>
        </w:rPr>
      </w:pPr>
      <w:r>
        <w:rPr>
          <w:rFonts w:eastAsia="" w:cs="" w:cstheme="majorBidi" w:eastAsiaTheme="majorEastAsia" w:ascii="Times New Roman" w:hAnsi="Times New Roman"/>
          <w:b/>
          <w:szCs w:val="26"/>
        </w:rPr>
      </w:r>
      <w:r>
        <w:br w:type="page"/>
      </w:r>
    </w:p>
    <w:p>
      <w:pPr>
        <w:pStyle w:val="Heading2"/>
        <w:rPr/>
      </w:pPr>
      <w:bookmarkStart w:id="26" w:name="_Toc1055356"/>
      <w:r>
        <w:rPr/>
        <w:t>Table 14.2.2.4.1</w:t>
        <w:tab/>
        <w:tab/>
        <w:t>Summary of Minnesota Living with Heart Failure (QOL) Questionnaire (Physical Factors) -ITT Population (N=49)</w:t>
      </w:r>
      <w:bookmarkEnd w:id="26"/>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2589"/>
        <w:gridCol w:w="2592"/>
        <w:gridCol w:w="2592"/>
        <w:gridCol w:w="2592"/>
        <w:gridCol w:w="2595"/>
      </w:tblGrid>
      <w:tr>
        <w:trPr>
          <w:tblHeader w:val="true"/>
          <w:cantSplit w:val="true"/>
        </w:trPr>
        <w:tc>
          <w:tcPr>
            <w:tcW w:w="5181"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7779" w:type="dxa"/>
            <w:gridSpan w:val="3"/>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2589" w:type="dxa"/>
            <w:tcBorders>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Baseline</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17.7</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16.7</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17.2</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6.19</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5.83</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 31.0)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 27.0)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 31.0)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9 Month follow up</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7.95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8.78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8.33</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5.61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4.47</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7.50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 15.0)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 26.0)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 26.0)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12 Month follow up</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8.68</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8.71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8.70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 23.0)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 19.0)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 23.0)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24 Month follow up</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8.37</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9.32</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5.92</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5.55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 24.0)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 26.0)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 26.0)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General Note:</w:t>
            </w:r>
            <w:r>
              <w:rPr>
                <w:rFonts w:cs="Times New Roman" w:ascii="Times New Roman" w:hAnsi="Times New Roman"/>
                <w:color w:val="000000"/>
              </w:rPr>
              <w:br/>
              <w:t>&gt; Physical factors: Sum of Questions 2,3,4,5,6,7,12 and 13 was taken for analysis.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rFonts w:ascii="Times New Roman" w:hAnsi="Times New Roman" w:eastAsia="" w:cs="" w:cstheme="majorBidi" w:eastAsiaTheme="majorEastAsia"/>
          <w:b/>
          <w:b/>
          <w:szCs w:val="26"/>
        </w:rPr>
      </w:pPr>
      <w:r>
        <w:rPr>
          <w:rFonts w:eastAsia="" w:cs="" w:cstheme="majorBidi" w:eastAsiaTheme="majorEastAsia" w:ascii="Times New Roman" w:hAnsi="Times New Roman"/>
          <w:b/>
          <w:szCs w:val="26"/>
        </w:rPr>
      </w:r>
    </w:p>
    <w:p>
      <w:pPr>
        <w:pStyle w:val="Normal"/>
        <w:spacing w:lineRule="auto" w:line="259" w:before="0" w:after="160"/>
        <w:rPr>
          <w:rFonts w:ascii="Times New Roman" w:hAnsi="Times New Roman" w:eastAsia="" w:cs="" w:cstheme="majorBidi" w:eastAsiaTheme="majorEastAsia"/>
          <w:b/>
          <w:b/>
          <w:szCs w:val="26"/>
        </w:rPr>
      </w:pPr>
      <w:r>
        <w:rPr>
          <w:rFonts w:eastAsia="" w:cs="" w:cstheme="majorBidi" w:eastAsiaTheme="majorEastAsia" w:ascii="Times New Roman" w:hAnsi="Times New Roman"/>
          <w:b/>
          <w:szCs w:val="26"/>
        </w:rPr>
      </w:r>
      <w:r>
        <w:br w:type="page"/>
      </w:r>
    </w:p>
    <w:p>
      <w:pPr>
        <w:pStyle w:val="Heading2"/>
        <w:rPr/>
      </w:pPr>
      <w:bookmarkStart w:id="27" w:name="_Toc1055357"/>
      <w:r>
        <w:rPr/>
        <w:t>Table 14.2.2.4.2</w:t>
        <w:tab/>
        <w:tab/>
        <w:t>Summary of Minnesota Living with Heart Failure (QOL) Questionnaire (Emotional Factors) -ITT Population (N=49)</w:t>
      </w:r>
      <w:bookmarkEnd w:id="27"/>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2589"/>
        <w:gridCol w:w="2592"/>
        <w:gridCol w:w="2592"/>
        <w:gridCol w:w="2592"/>
        <w:gridCol w:w="2595"/>
      </w:tblGrid>
      <w:tr>
        <w:trPr>
          <w:tblHeader w:val="true"/>
          <w:cantSplit w:val="true"/>
        </w:trPr>
        <w:tc>
          <w:tcPr>
            <w:tcW w:w="5181"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7779" w:type="dxa"/>
            <w:gridSpan w:val="3"/>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2589" w:type="dxa"/>
            <w:tcBorders>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Baseline</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9.73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8.31</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4.11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3.89</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 17.0)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17.0)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17.0)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9 Month follow up</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6.00)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 15.0)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15.0)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12 Month follow up</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4.24</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2.64</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2.74</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2.67</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10.0)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11.0)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11.0)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24 Month follow up</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5.11</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3.84</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3.47</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 15.0)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18.0)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18.0)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i/>
                <w:i/>
                <w:iCs/>
                <w:color w:val="000000"/>
              </w:rPr>
            </w:pPr>
            <w:r>
              <w:rPr>
                <w:rFonts w:cs="Times New Roman" w:ascii="Times New Roman" w:hAnsi="Times New Roman"/>
                <w:b/>
                <w:bCs/>
                <w:i/>
                <w:i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General Note:</w:t>
            </w:r>
            <w:r>
              <w:rPr>
                <w:rFonts w:cs="Times New Roman" w:ascii="Times New Roman" w:hAnsi="Times New Roman"/>
                <w:color w:val="000000"/>
              </w:rPr>
              <w:br/>
              <w:t>&gt; Emotional factors: Sum of Questions 17,18,19,20 and 21 was taken for analysis.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rFonts w:ascii="Times New Roman" w:hAnsi="Times New Roman" w:eastAsia="" w:cs="" w:cstheme="majorBidi" w:eastAsiaTheme="majorEastAsia"/>
          <w:b/>
          <w:b/>
          <w:szCs w:val="26"/>
        </w:rPr>
      </w:pPr>
      <w:r>
        <w:rPr>
          <w:rFonts w:eastAsia="" w:cs="" w:cstheme="majorBidi" w:eastAsiaTheme="majorEastAsia" w:ascii="Times New Roman" w:hAnsi="Times New Roman"/>
          <w:b/>
          <w:szCs w:val="26"/>
        </w:rPr>
      </w:r>
    </w:p>
    <w:p>
      <w:pPr>
        <w:pStyle w:val="Normal"/>
        <w:spacing w:lineRule="auto" w:line="259" w:before="0" w:after="160"/>
        <w:rPr>
          <w:rFonts w:ascii="Times New Roman" w:hAnsi="Times New Roman" w:eastAsia="" w:cs="" w:cstheme="majorBidi" w:eastAsiaTheme="majorEastAsia"/>
          <w:b/>
          <w:b/>
          <w:szCs w:val="26"/>
        </w:rPr>
      </w:pPr>
      <w:r>
        <w:rPr>
          <w:rFonts w:eastAsia="" w:cs="" w:cstheme="majorBidi" w:eastAsiaTheme="majorEastAsia" w:ascii="Times New Roman" w:hAnsi="Times New Roman"/>
          <w:b/>
          <w:szCs w:val="26"/>
        </w:rPr>
      </w:r>
      <w:r>
        <w:br w:type="page"/>
      </w:r>
    </w:p>
    <w:p>
      <w:pPr>
        <w:pStyle w:val="Heading2"/>
        <w:rPr/>
      </w:pPr>
      <w:bookmarkStart w:id="28" w:name="_Toc1055358"/>
      <w:r>
        <w:rPr/>
        <w:t>Table 14.2.2.5</w:t>
        <w:tab/>
        <w:tab/>
        <w:t>Summary of Change in Minnesota Living with Heart Failure (QOL) Questionnaire from Baseline (Overall) -ITT Population (N=49)</w:t>
      </w:r>
      <w:bookmarkEnd w:id="28"/>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2310"/>
        <w:gridCol w:w="2315"/>
        <w:gridCol w:w="2084"/>
        <w:gridCol w:w="2082"/>
        <w:gridCol w:w="2084"/>
        <w:gridCol w:w="2084"/>
      </w:tblGrid>
      <w:tr>
        <w:trPr>
          <w:tblHeader w:val="true"/>
          <w:cantSplit w:val="true"/>
        </w:trPr>
        <w:tc>
          <w:tcPr>
            <w:tcW w:w="4625"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8334" w:type="dxa"/>
            <w:gridSpan w:val="4"/>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2310" w:type="dxa"/>
            <w:tcBorders>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2315"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2084"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08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084"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 follow up</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-17.9</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-21.6</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12.8</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12.2</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-29.5</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-21.5</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(-62.0: 2.00)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(-36.0: -2.00)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(-62.0: 2.00)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-22.7</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-17.7</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-4.99</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3.56</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(-12.2: 2.20)</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0.168</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 follow up</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-18.1</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14.2</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10.9</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12.9</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-20.5</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(-63.0: 10.0)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(-38.0: 5.00)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(-63.0: 10.0)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-23.3</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-18.1</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-5.20</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3.64</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(-12.5: 2.12)</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0.16</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 follow up</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-19.8</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-14.8</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-17.3</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13.7</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14.9</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-17.5</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(-44.0: 19.0)</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(-44.0: 13.0)</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(-44.0: 19.0)</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w:t>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-20.5</w:t>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-14.4</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-6.14</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4.77</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(-15.8: 3.51)</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0.206</w:t>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15"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310"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15"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[4]</w:t>
            </w:r>
          </w:p>
        </w:tc>
        <w:tc>
          <w:tcPr>
            <w:tcW w:w="2084"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&lt;.0001</w:t>
            </w:r>
          </w:p>
        </w:tc>
        <w:tc>
          <w:tcPr>
            <w:tcW w:w="2082"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r>
          </w:p>
        </w:tc>
        <w:tc>
          <w:tcPr>
            <w:tcW w:w="2084"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0.0008</w:t>
            </w:r>
          </w:p>
        </w:tc>
        <w:tc>
          <w:tcPr>
            <w:tcW w:w="2084"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12959" w:type="dxa"/>
            <w:gridSpan w:val="6"/>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Difference estimate indicate Difference [(Right Sided) – (Left Sided)].</w:t>
              <w:br/>
              <w:t>[2] SE indicates Standard Error of Differences [[(Right Sided) – (Left Sided)].</w:t>
              <w:br/>
              <w:t>[3] Mean change in score was compared between the two VNS Therapy System using Mixed Model for Repeated Measures (MMRM), with VNS</w:t>
              <w:br/>
              <w:t>    Therapy System (Right/Left Sided), Visit, VNS Therapy System*Visit as factors.</w:t>
              <w:br/>
              <w:t>[4] P-value for comparing baseline assessment to consecutive visits i.e.9 month vs. baseline, 12 month vs. baseline, 24 month vs.</w:t>
              <w:br/>
              <w:t>    baseline) computed from paired t-test.</w:t>
              <w:br/>
              <w:br/>
            </w:r>
            <w:r>
              <w:rPr>
                <w:rFonts w:cs="Times New Roman" w:ascii="Times New Roman" w:hAnsi="Times New Roman"/>
                <w:b/>
                <w:bCs/>
                <w:color w:val="000000"/>
              </w:rPr>
              <w:t>General Note:</w:t>
            </w:r>
            <w:r>
              <w:rPr>
                <w:rFonts w:cs="Times New Roman" w:ascii="Times New Roman" w:hAnsi="Times New Roman"/>
                <w:color w:val="000000"/>
              </w:rPr>
              <w:br/>
              <w:t>&gt; If the interaction is not significant, Right-sided and Left sided implant groups was pooled for further analysis by omitting all</w:t>
              <w:br/>
              <w:t>  factors involving side of the implant from ANOVA.</w:t>
            </w:r>
          </w:p>
        </w:tc>
      </w:tr>
    </w:tbl>
    <w:p>
      <w:pPr>
        <w:pStyle w:val="Normal"/>
        <w:rPr/>
      </w:pPr>
      <w:r>
        <w:rPr/>
      </w:r>
    </w:p>
    <w:p>
      <w:pPr>
        <w:pStyle w:val="Normal"/>
        <w:spacing w:lineRule="auto" w:line="259" w:before="0" w:after="160"/>
        <w:rPr/>
      </w:pPr>
      <w:r>
        <w:rPr/>
      </w:r>
    </w:p>
    <w:p>
      <w:pPr>
        <w:pStyle w:val="Normal"/>
        <w:rPr/>
      </w:pPr>
      <w:r>
        <w:rPr/>
      </w:r>
    </w:p>
    <w:p>
      <w:pPr>
        <w:pStyle w:val="Normal"/>
        <w:spacing w:lineRule="auto" w:line="259" w:before="0" w:after="160"/>
        <w:rPr/>
      </w:pPr>
      <w:r>
        <w:rPr/>
      </w:r>
      <w:r>
        <w:br w:type="page"/>
      </w:r>
    </w:p>
    <w:p>
      <w:pPr>
        <w:pStyle w:val="Heading2"/>
        <w:rPr/>
      </w:pPr>
      <w:bookmarkStart w:id="29" w:name="_Toc1055359"/>
      <w:r>
        <w:rPr/>
        <w:t>Table 14.2.2.5-a</w:t>
        <w:tab/>
        <w:tab/>
        <w:t>Summary of Change in Minnesota Living with Heart Failure (QOL) Questionnaire from Baseline (Overall) (Pooled Analysis) - ITT Population (N=49)</w:t>
      </w:r>
      <w:bookmarkEnd w:id="29"/>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4149"/>
        <w:gridCol w:w="4153"/>
        <w:gridCol w:w="4658"/>
      </w:tblGrid>
      <w:tr>
        <w:trPr>
          <w:tblHeader w:val="true"/>
          <w:cantSplit w:val="true"/>
        </w:trPr>
        <w:tc>
          <w:tcPr>
            <w:tcW w:w="4149" w:type="dxa"/>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4153" w:type="dxa"/>
            <w:tcBorders>
              <w:top w:val="single" w:sz="6" w:space="0" w:color="000000"/>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4658" w:type="dxa"/>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br/>
              <w:t>(n=49)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12.2</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(-62.0: 2.00)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(-24.2: -16.9)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(-63.0: 10.0)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(-24.8: -17.2)</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(-44.0: 19.0)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2.47</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(-23.3: -13.3)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12960" w:type="dxa"/>
            <w:gridSpan w:val="3"/>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LS Mean Estimate, SE and p-value for Mean change in score was compared for visit using Mixed Model</w:t>
              <w:br/>
              <w:t>    for Repeated Measures (MMRM) ANOVA with visit as only factor</w:t>
              <w:br/>
              <w:t>[2] P-value for comparing baseline assessment to consecutive visits i.e.9 month vs. baseline, 12 month vs. baseline,</w:t>
              <w:br/>
              <w:t>    24 month vs. baseline) computed from paired t-test.</w:t>
              <w:br/>
              <w:br/>
            </w:r>
            <w:r>
              <w:rPr>
                <w:rFonts w:cs="Times New Roman" w:ascii="Times New Roman" w:hAnsi="Times New Roman"/>
                <w:b/>
                <w:bCs/>
                <w:color w:val="000000"/>
              </w:rPr>
              <w:t>General Note:</w:t>
            </w:r>
            <w:r>
              <w:rPr>
                <w:rFonts w:cs="Times New Roman" w:ascii="Times New Roman" w:hAnsi="Times New Roman"/>
                <w:color w:val="000000"/>
              </w:rPr>
              <w:br/>
              <w:t>&gt; As interaction has not been significant, Right-sided and Left sided implant groups has been pooled for this analysis</w:t>
              <w:br/>
              <w:t>  by omitting all factors involving side of the implant from ANOVA.</w:t>
            </w:r>
          </w:p>
        </w:tc>
      </w:tr>
    </w:tbl>
    <w:p>
      <w:pPr>
        <w:pStyle w:val="Heading2"/>
        <w:rPr>
          <w:rFonts w:ascii="Courier New" w:hAnsi="Courier New" w:cs="Courier New"/>
          <w:b w:val="false"/>
          <w:b w:val="false"/>
          <w:bCs/>
          <w:color w:val="000000"/>
        </w:rPr>
      </w:pPr>
      <w:r>
        <w:br w:type="page"/>
      </w:r>
      <w:bookmarkStart w:id="30" w:name="_Toc1055360"/>
      <w:r>
        <w:rPr/>
        <w:t>Table 14.2.2.5-b</w:t>
        <w:tab/>
        <w:tab/>
        <w:t>Summary of Change in Minnesota Living with Heart Failure (QOL) Questionnaire from Baseline (Physical Factors) (Pooled Analysis) - ITT Population (N=49)</w:t>
      </w:r>
      <w:bookmarkEnd w:id="30"/>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4149"/>
        <w:gridCol w:w="4153"/>
        <w:gridCol w:w="4658"/>
      </w:tblGrid>
      <w:tr>
        <w:trPr>
          <w:tblHeader w:val="true"/>
          <w:cantSplit w:val="true"/>
        </w:trPr>
        <w:tc>
          <w:tcPr>
            <w:tcW w:w="4149" w:type="dxa"/>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4153" w:type="dxa"/>
            <w:tcBorders>
              <w:top w:val="single" w:sz="6" w:space="0" w:color="000000"/>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4658" w:type="dxa"/>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br/>
              <w:t>(n=49)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5.02</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(-19.0: 1.00)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-8.77</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0.806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(-10.4: -7.14)</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-8.61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5.90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(-19.0: 11.0)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-8.48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0.869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(-10.2: -6.73)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-7.45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6.16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(-19.0: 5.00)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-7.88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0.977</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(-9.85: -5.90)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12960" w:type="dxa"/>
            <w:gridSpan w:val="3"/>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LS Mean Estimate, SE and p-value for Mean change in score was compared for visit using Mixed Model</w:t>
              <w:br/>
              <w:t>    for Repeated Measures (MMRM) ANOVA with visit as only factor</w:t>
              <w:br/>
              <w:t>[2] P-value for comparing baseline assessment to consecutive visits i.e.9 month vs. baseline, 12 month vs. baseline,</w:t>
              <w:br/>
              <w:t>    24 month vs. baseline) computed from paired t-test.</w:t>
              <w:br/>
              <w:br/>
            </w:r>
            <w:r>
              <w:rPr>
                <w:rFonts w:cs="Times New Roman" w:ascii="Times New Roman" w:hAnsi="Times New Roman"/>
                <w:b/>
                <w:bCs/>
                <w:color w:val="000000"/>
              </w:rPr>
              <w:t>General Note:</w:t>
            </w:r>
            <w:r>
              <w:rPr>
                <w:rFonts w:cs="Times New Roman" w:ascii="Times New Roman" w:hAnsi="Times New Roman"/>
                <w:color w:val="000000"/>
              </w:rPr>
              <w:br/>
              <w:t>&gt; As interaction has not been significant, Right-sided and Left sided implant groups has been pooled for this analysis</w:t>
              <w:br/>
              <w:t>  by omitting all factors involving side of the implant from ANOVA.</w:t>
              <w:br/>
              <w:t>&gt; Physical factors: Sum of Questions 2,3,4,5,6,7,12 and 13 was taken for analysis.</w:t>
            </w:r>
          </w:p>
        </w:tc>
      </w:tr>
    </w:tbl>
    <w:p>
      <w:pPr>
        <w:pStyle w:val="Normal"/>
        <w:spacing w:lineRule="auto" w:line="259" w:before="0" w:after="160"/>
        <w:rPr/>
      </w:pPr>
      <w:r>
        <w:rPr/>
      </w:r>
    </w:p>
    <w:p>
      <w:pPr>
        <w:pStyle w:val="Normal"/>
        <w:spacing w:lineRule="auto" w:line="259" w:before="0" w:after="160"/>
        <w:rPr/>
      </w:pPr>
      <w:r>
        <w:rPr/>
      </w:r>
      <w:r>
        <w:br w:type="page"/>
      </w:r>
    </w:p>
    <w:p>
      <w:pPr>
        <w:pStyle w:val="Normal"/>
        <w:spacing w:lineRule="auto" w:line="259" w:before="0" w:after="160"/>
        <w:rPr/>
      </w:pPr>
      <w:r>
        <w:rPr/>
      </w:r>
    </w:p>
    <w:p>
      <w:pPr>
        <w:pStyle w:val="Heading2"/>
        <w:rPr/>
      </w:pPr>
      <w:bookmarkStart w:id="31" w:name="_Toc1055361"/>
      <w:r>
        <w:rPr/>
        <w:t>Table 14.2.2.5-c</w:t>
        <w:tab/>
        <w:tab/>
        <w:t>Summary of Change in Minnesota Living with Heart Failure (QOL) Questionnaire from Baseline (Emotional Factors) (Pooled Analysis) - ITT Population (N=49)</w:t>
      </w:r>
      <w:bookmarkEnd w:id="31"/>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4149"/>
        <w:gridCol w:w="4153"/>
        <w:gridCol w:w="4658"/>
      </w:tblGrid>
      <w:tr>
        <w:trPr>
          <w:tblHeader w:val="true"/>
          <w:cantSplit w:val="true"/>
        </w:trPr>
        <w:tc>
          <w:tcPr>
            <w:tcW w:w="4149" w:type="dxa"/>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4153" w:type="dxa"/>
            <w:tcBorders>
              <w:top w:val="single" w:sz="6" w:space="0" w:color="000000"/>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4658" w:type="dxa"/>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br/>
              <w:t>(n=49)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-4.35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4.25</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 5.00)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-4.19</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0.607</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(-5.41: -2.97)</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(-16.0: 2.00)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0.622</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(-5.76: -3.26)</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 follow up</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5.08</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 6.00)</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-3.52</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0.791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(-5.12: -1.93)</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4153"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149"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153"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[2]</w:t>
            </w:r>
          </w:p>
        </w:tc>
        <w:tc>
          <w:tcPr>
            <w:tcW w:w="4658"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0.0006</w:t>
            </w:r>
          </w:p>
        </w:tc>
      </w:tr>
      <w:tr>
        <w:trPr>
          <w:cantSplit w:val="true"/>
        </w:trPr>
        <w:tc>
          <w:tcPr>
            <w:tcW w:w="12960" w:type="dxa"/>
            <w:gridSpan w:val="3"/>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LS Mean Estimate, SE and p-value for Mean change in score was compared for visit using Mixed Model</w:t>
              <w:br/>
              <w:t>    for Repeated Measures (MMRM) ANOVA with visit as only factor</w:t>
              <w:br/>
              <w:t>[2] P-value for comparing baseline assessment to consecutive visits i.e.9 month vs. baseline, 12 month vs. baseline,</w:t>
              <w:br/>
              <w:t>    24 month vs. baseline) computed from paired t-test.</w:t>
              <w:br/>
              <w:br/>
            </w:r>
            <w:r>
              <w:rPr>
                <w:rFonts w:cs="Times New Roman" w:ascii="Times New Roman" w:hAnsi="Times New Roman"/>
                <w:b/>
                <w:bCs/>
                <w:color w:val="000000"/>
              </w:rPr>
              <w:t>General Note:</w:t>
            </w:r>
            <w:r>
              <w:rPr>
                <w:rFonts w:cs="Times New Roman" w:ascii="Times New Roman" w:hAnsi="Times New Roman"/>
                <w:color w:val="000000"/>
              </w:rPr>
              <w:br/>
              <w:t>&gt; As interaction has not been significant, Right-sided and Left sided implant groups has been pooled for this analysis</w:t>
              <w:br/>
              <w:t>  by omitting all factors involving side of the implant from ANOVA.</w:t>
              <w:br/>
              <w:t>&gt; Physical factors: Sum of Questions 2,3,4,5,6,7,12 and 13 was taken for analysis.</w:t>
              <w:br/>
              <w:t>&gt; Emotional factors: Sum of Questions 17,18,19,20 and 21 was taken for analysis.</w:t>
            </w:r>
          </w:p>
        </w:tc>
      </w:tr>
    </w:tbl>
    <w:p>
      <w:pPr>
        <w:pStyle w:val="Normal"/>
        <w:rPr/>
      </w:pPr>
      <w:r>
        <w:rPr/>
      </w:r>
    </w:p>
    <w:p>
      <w:pPr>
        <w:pStyle w:val="Normal"/>
        <w:spacing w:lineRule="auto" w:line="259" w:before="0" w:after="160"/>
        <w:rPr/>
      </w:pPr>
      <w:r>
        <w:rPr/>
      </w:r>
      <w:r>
        <w:br w:type="page"/>
      </w:r>
    </w:p>
    <w:p>
      <w:pPr>
        <w:pStyle w:val="Heading2"/>
        <w:rPr/>
      </w:pPr>
      <w:bookmarkStart w:id="32" w:name="_Toc1055362"/>
      <w:r>
        <w:rPr/>
        <w:t>Table 14.2.2.6</w:t>
        <w:tab/>
        <w:tab/>
        <w:t>Summary of NYHA Class-ITT Population (N=49)</w:t>
      </w:r>
      <w:bookmarkEnd w:id="32"/>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1645"/>
        <w:gridCol w:w="997"/>
        <w:gridCol w:w="997"/>
        <w:gridCol w:w="998"/>
        <w:gridCol w:w="810"/>
        <w:gridCol w:w="997"/>
        <w:gridCol w:w="997"/>
        <w:gridCol w:w="905"/>
        <w:gridCol w:w="811"/>
        <w:gridCol w:w="997"/>
        <w:gridCol w:w="997"/>
        <w:gridCol w:w="997"/>
        <w:gridCol w:w="811"/>
      </w:tblGrid>
      <w:tr>
        <w:trPr>
          <w:tblHeader w:val="true"/>
          <w:cantSplit w:val="true"/>
        </w:trPr>
        <w:tc>
          <w:tcPr>
            <w:tcW w:w="1645" w:type="dxa"/>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r>
          </w:p>
        </w:tc>
        <w:tc>
          <w:tcPr>
            <w:tcW w:w="11314" w:type="dxa"/>
            <w:gridSpan w:val="12"/>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VNS Therapy System</w:t>
            </w:r>
          </w:p>
        </w:tc>
      </w:tr>
      <w:tr>
        <w:trPr>
          <w:tblHeader w:val="true"/>
          <w:cantSplit w:val="true"/>
        </w:trPr>
        <w:tc>
          <w:tcPr>
            <w:tcW w:w="1645" w:type="dxa"/>
            <w:tcBorders>
              <w:left w:val="single" w:sz="6"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r>
          </w:p>
        </w:tc>
        <w:tc>
          <w:tcPr>
            <w:tcW w:w="3802" w:type="dxa"/>
            <w:gridSpan w:val="4"/>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Right Sided</w:t>
            </w:r>
          </w:p>
        </w:tc>
        <w:tc>
          <w:tcPr>
            <w:tcW w:w="3710" w:type="dxa"/>
            <w:gridSpan w:val="4"/>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Left Sided</w:t>
            </w:r>
          </w:p>
        </w:tc>
        <w:tc>
          <w:tcPr>
            <w:tcW w:w="3802" w:type="dxa"/>
            <w:gridSpan w:val="4"/>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Overall</w:t>
            </w:r>
          </w:p>
        </w:tc>
      </w:tr>
      <w:tr>
        <w:trPr>
          <w:tblHeader w:val="true"/>
          <w:cantSplit w:val="true"/>
        </w:trPr>
        <w:tc>
          <w:tcPr>
            <w:tcW w:w="1645" w:type="dxa"/>
            <w:tcBorders>
              <w:left w:val="single" w:sz="6" w:space="0" w:color="000000"/>
              <w:bottom w:val="single" w:sz="2" w:space="0" w:color="000000"/>
            </w:tcBorders>
            <w:shd w:color="auto" w:fill="FFFFFF" w:val="clear"/>
            <w:vAlign w:val="bottom"/>
          </w:tcPr>
          <w:p>
            <w:pPr>
              <w:pStyle w:val="Normal"/>
              <w:keepNext w:val="true"/>
              <w:spacing w:before="80" w:after="80"/>
              <w:rPr>
                <w:rFonts w:ascii="Courier" w:hAnsi="Courier" w:cs="Courier"/>
                <w:b/>
                <w:b/>
                <w:bCs/>
                <w:color w:val="000000"/>
              </w:rPr>
            </w:pPr>
            <w:r>
              <w:rPr>
                <w:rFonts w:cs="Courier" w:ascii="Courier" w:hAnsi="Courier"/>
                <w:b/>
                <w:bCs/>
                <w:color w:val="000000"/>
              </w:rPr>
              <w:t>Parameters/Visit</w:t>
            </w:r>
          </w:p>
        </w:tc>
        <w:tc>
          <w:tcPr>
            <w:tcW w:w="997"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w:t>
            </w:r>
          </w:p>
        </w:tc>
        <w:tc>
          <w:tcPr>
            <w:tcW w:w="997"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II</w:t>
            </w:r>
          </w:p>
        </w:tc>
        <w:tc>
          <w:tcPr>
            <w:tcW w:w="99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III</w:t>
            </w:r>
          </w:p>
        </w:tc>
        <w:tc>
          <w:tcPr>
            <w:tcW w:w="810"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IV</w:t>
            </w:r>
          </w:p>
        </w:tc>
        <w:tc>
          <w:tcPr>
            <w:tcW w:w="997"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w:t>
            </w:r>
          </w:p>
        </w:tc>
        <w:tc>
          <w:tcPr>
            <w:tcW w:w="997"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II</w:t>
            </w:r>
          </w:p>
        </w:tc>
        <w:tc>
          <w:tcPr>
            <w:tcW w:w="905"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III</w:t>
            </w:r>
          </w:p>
        </w:tc>
        <w:tc>
          <w:tcPr>
            <w:tcW w:w="811"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IV</w:t>
            </w:r>
          </w:p>
        </w:tc>
        <w:tc>
          <w:tcPr>
            <w:tcW w:w="997"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w:t>
            </w:r>
          </w:p>
        </w:tc>
        <w:tc>
          <w:tcPr>
            <w:tcW w:w="997"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II</w:t>
            </w:r>
          </w:p>
        </w:tc>
        <w:tc>
          <w:tcPr>
            <w:tcW w:w="997"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III</w:t>
            </w:r>
          </w:p>
        </w:tc>
        <w:tc>
          <w:tcPr>
            <w:tcW w:w="811"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Class IV</w:t>
            </w:r>
          </w:p>
        </w:tc>
      </w:tr>
      <w:tr>
        <w:trPr>
          <w:cantSplit w:val="true"/>
        </w:trPr>
        <w:tc>
          <w:tcPr>
            <w:tcW w:w="1645" w:type="dxa"/>
            <w:tcBorders>
              <w:left w:val="single" w:sz="6"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Baseline Visit</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8"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810"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05"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811"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81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r>
      <w:tr>
        <w:trPr>
          <w:cantSplit w:val="true"/>
        </w:trPr>
        <w:tc>
          <w:tcPr>
            <w:tcW w:w="1645" w:type="dxa"/>
            <w:tcBorders>
              <w:left w:val="single" w:sz="6"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Total no. of subjects</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26</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26</w:t>
            </w:r>
          </w:p>
        </w:tc>
        <w:tc>
          <w:tcPr>
            <w:tcW w:w="998"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26</w:t>
            </w:r>
          </w:p>
        </w:tc>
        <w:tc>
          <w:tcPr>
            <w:tcW w:w="810"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26</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23</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23</w:t>
            </w:r>
          </w:p>
        </w:tc>
        <w:tc>
          <w:tcPr>
            <w:tcW w:w="905"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23</w:t>
            </w:r>
          </w:p>
        </w:tc>
        <w:tc>
          <w:tcPr>
            <w:tcW w:w="811"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23</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49</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49</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49</w:t>
            </w:r>
          </w:p>
        </w:tc>
        <w:tc>
          <w:tcPr>
            <w:tcW w:w="81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49</w:t>
            </w:r>
          </w:p>
        </w:tc>
      </w:tr>
      <w:tr>
        <w:trPr>
          <w:cantSplit w:val="true"/>
        </w:trPr>
        <w:tc>
          <w:tcPr>
            <w:tcW w:w="1645"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13(50.0%)</w:t>
            </w:r>
          </w:p>
        </w:tc>
        <w:tc>
          <w:tcPr>
            <w:tcW w:w="998"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13(50.0%)</w:t>
            </w:r>
          </w:p>
        </w:tc>
        <w:tc>
          <w:tcPr>
            <w:tcW w:w="810"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15(65.2%)</w:t>
            </w:r>
          </w:p>
        </w:tc>
        <w:tc>
          <w:tcPr>
            <w:tcW w:w="905"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8(34.8%)</w:t>
            </w:r>
          </w:p>
        </w:tc>
        <w:tc>
          <w:tcPr>
            <w:tcW w:w="811"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28(57.1%)</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21(42.9%)</w:t>
            </w:r>
          </w:p>
        </w:tc>
        <w:tc>
          <w:tcPr>
            <w:tcW w:w="81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r>
      <w:tr>
        <w:trPr>
          <w:cantSplit w:val="true"/>
        </w:trPr>
        <w:tc>
          <w:tcPr>
            <w:tcW w:w="1645" w:type="dxa"/>
            <w:tcBorders>
              <w:left w:val="single" w:sz="6"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12 Months Follow-up Visit</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8"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810"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05"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811"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81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r>
      <w:tr>
        <w:trPr>
          <w:cantSplit w:val="true"/>
        </w:trPr>
        <w:tc>
          <w:tcPr>
            <w:tcW w:w="1645" w:type="dxa"/>
            <w:tcBorders>
              <w:left w:val="single" w:sz="6"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Total no. of subjects</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25</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25</w:t>
            </w:r>
          </w:p>
        </w:tc>
        <w:tc>
          <w:tcPr>
            <w:tcW w:w="998"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25</w:t>
            </w:r>
          </w:p>
        </w:tc>
        <w:tc>
          <w:tcPr>
            <w:tcW w:w="810"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25</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21</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21</w:t>
            </w:r>
          </w:p>
        </w:tc>
        <w:tc>
          <w:tcPr>
            <w:tcW w:w="905"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21</w:t>
            </w:r>
          </w:p>
        </w:tc>
        <w:tc>
          <w:tcPr>
            <w:tcW w:w="811"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21</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46</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46</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46</w:t>
            </w:r>
          </w:p>
        </w:tc>
        <w:tc>
          <w:tcPr>
            <w:tcW w:w="81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46</w:t>
            </w:r>
          </w:p>
        </w:tc>
      </w:tr>
      <w:tr>
        <w:trPr>
          <w:cantSplit w:val="true"/>
        </w:trPr>
        <w:tc>
          <w:tcPr>
            <w:tcW w:w="1645"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20(80.0%)</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5(20.0%)</w:t>
            </w:r>
          </w:p>
        </w:tc>
        <w:tc>
          <w:tcPr>
            <w:tcW w:w="998"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810"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13(61.9%)</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8(38.1%)</w:t>
            </w:r>
          </w:p>
        </w:tc>
        <w:tc>
          <w:tcPr>
            <w:tcW w:w="905"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811"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33(71.7%)</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13(28.3%)</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c>
          <w:tcPr>
            <w:tcW w:w="81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0(0.0%)</w:t>
            </w:r>
          </w:p>
        </w:tc>
      </w:tr>
      <w:tr>
        <w:trPr>
          <w:cantSplit w:val="true"/>
        </w:trPr>
        <w:tc>
          <w:tcPr>
            <w:tcW w:w="1645" w:type="dxa"/>
            <w:tcBorders>
              <w:left w:val="single" w:sz="6"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24 Months Follow-up Visit</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8"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810"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05"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811"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c>
          <w:tcPr>
            <w:tcW w:w="81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r>
          </w:p>
        </w:tc>
      </w:tr>
      <w:tr>
        <w:trPr>
          <w:cantSplit w:val="true"/>
        </w:trPr>
        <w:tc>
          <w:tcPr>
            <w:tcW w:w="1645" w:type="dxa"/>
            <w:tcBorders>
              <w:left w:val="single" w:sz="6"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Total no. of subject</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21</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21</w:t>
            </w:r>
          </w:p>
        </w:tc>
        <w:tc>
          <w:tcPr>
            <w:tcW w:w="998"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21</w:t>
            </w:r>
          </w:p>
        </w:tc>
        <w:tc>
          <w:tcPr>
            <w:tcW w:w="810"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21</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18</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18</w:t>
            </w:r>
          </w:p>
        </w:tc>
        <w:tc>
          <w:tcPr>
            <w:tcW w:w="905"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18</w:t>
            </w:r>
          </w:p>
        </w:tc>
        <w:tc>
          <w:tcPr>
            <w:tcW w:w="811"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18</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39</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39</w:t>
            </w:r>
          </w:p>
        </w:tc>
        <w:tc>
          <w:tcPr>
            <w:tcW w:w="99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39</w:t>
            </w:r>
          </w:p>
        </w:tc>
        <w:tc>
          <w:tcPr>
            <w:tcW w:w="81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Courier" w:hAnsi="Courier" w:cs="Courier"/>
                <w:color w:val="000000"/>
              </w:rPr>
            </w:pPr>
            <w:r>
              <w:rPr>
                <w:rFonts w:cs="Courier" w:ascii="Courier" w:hAnsi="Courier"/>
                <w:color w:val="000000"/>
              </w:rPr>
              <w:t>39</w:t>
            </w:r>
          </w:p>
        </w:tc>
      </w:tr>
      <w:tr>
        <w:trPr>
          <w:cantSplit w:val="true"/>
        </w:trPr>
        <w:tc>
          <w:tcPr>
            <w:tcW w:w="1645" w:type="dxa"/>
            <w:tcBorders>
              <w:left w:val="single" w:sz="6" w:space="0" w:color="000000"/>
              <w:bottom w:val="single" w:sz="2" w:space="0" w:color="000000"/>
            </w:tcBorders>
            <w:shd w:color="auto" w:fill="FFFFFF" w:val="clear"/>
          </w:tcPr>
          <w:p>
            <w:pPr>
              <w:pStyle w:val="Normal"/>
              <w:keepNext w:val="true"/>
              <w:spacing w:before="80" w:after="80"/>
              <w:jc w:val="center"/>
              <w:rPr>
                <w:rFonts w:ascii="Courier" w:hAnsi="Courier" w:cs="Courier"/>
                <w:b/>
                <w:b/>
                <w:bCs/>
                <w:color w:val="000000"/>
              </w:rPr>
            </w:pPr>
            <w:r>
              <w:rPr>
                <w:rFonts w:cs="Courier" w:ascii="Courier" w:hAnsi="Courier"/>
                <w:b/>
                <w:bCs/>
                <w:color w:val="000000"/>
              </w:rPr>
            </w:r>
          </w:p>
        </w:tc>
        <w:tc>
          <w:tcPr>
            <w:tcW w:w="997"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15(71.4%)</w:t>
            </w:r>
          </w:p>
        </w:tc>
        <w:tc>
          <w:tcPr>
            <w:tcW w:w="997"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6(28.6%)</w:t>
            </w:r>
          </w:p>
        </w:tc>
        <w:tc>
          <w:tcPr>
            <w:tcW w:w="998"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0(0.0%)</w:t>
            </w:r>
          </w:p>
        </w:tc>
        <w:tc>
          <w:tcPr>
            <w:tcW w:w="810"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0(0.0%)</w:t>
            </w:r>
          </w:p>
        </w:tc>
        <w:tc>
          <w:tcPr>
            <w:tcW w:w="997"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12(66.7%)</w:t>
            </w:r>
          </w:p>
        </w:tc>
        <w:tc>
          <w:tcPr>
            <w:tcW w:w="997"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5(27.8%)</w:t>
            </w:r>
          </w:p>
        </w:tc>
        <w:tc>
          <w:tcPr>
            <w:tcW w:w="905"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1(5.6%)</w:t>
            </w:r>
          </w:p>
        </w:tc>
        <w:tc>
          <w:tcPr>
            <w:tcW w:w="811"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0(0.0%)</w:t>
            </w:r>
          </w:p>
        </w:tc>
        <w:tc>
          <w:tcPr>
            <w:tcW w:w="997"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27(69.2%)</w:t>
            </w:r>
          </w:p>
        </w:tc>
        <w:tc>
          <w:tcPr>
            <w:tcW w:w="997"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11(28.2%)</w:t>
            </w:r>
          </w:p>
        </w:tc>
        <w:tc>
          <w:tcPr>
            <w:tcW w:w="997" w:type="dxa"/>
            <w:tcBorders>
              <w:left w:val="single" w:sz="2" w:space="0" w:color="000000"/>
              <w:bottom w:val="single" w:sz="2"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1(2.6%)</w:t>
            </w:r>
          </w:p>
        </w:tc>
        <w:tc>
          <w:tcPr>
            <w:tcW w:w="811"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Courier" w:hAnsi="Courier" w:cs="Courier"/>
                <w:color w:val="000000"/>
              </w:rPr>
            </w:pPr>
            <w:r>
              <w:rPr>
                <w:rFonts w:cs="Courier" w:ascii="Courier" w:hAnsi="Courier"/>
                <w:color w:val="000000"/>
              </w:rPr>
              <w:t>0(0.0%)</w:t>
            </w:r>
          </w:p>
        </w:tc>
      </w:tr>
      <w:tr>
        <w:trPr>
          <w:cantSplit w:val="true"/>
        </w:trPr>
        <w:tc>
          <w:tcPr>
            <w:tcW w:w="12959" w:type="dxa"/>
            <w:gridSpan w:val="13"/>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Courier" w:hAnsi="Courier" w:cs="Courier"/>
                <w:color w:val="000000"/>
              </w:rPr>
            </w:pPr>
            <w:r>
              <w:rPr>
                <w:rFonts w:cs="Courier" w:ascii="Courier" w:hAnsi="Courier"/>
                <w:b/>
                <w:bCs/>
                <w:color w:val="000000"/>
              </w:rPr>
              <w:t>Note:s</w:t>
            </w:r>
            <w:r>
              <w:rPr>
                <w:rFonts w:cs="Courier" w:ascii="Courier" w:hAnsi="Courier"/>
                <w:color w:val="000000"/>
              </w:rPr>
              <w:br/>
              <w:t>[1] Respective Subject count was used as denominator for percentage calculation.</w:t>
            </w:r>
          </w:p>
        </w:tc>
      </w:tr>
    </w:tbl>
    <w:p>
      <w:pPr>
        <w:pStyle w:val="Normal"/>
        <w:rPr/>
      </w:pPr>
      <w:r>
        <w:rPr/>
      </w:r>
    </w:p>
    <w:p>
      <w:pPr>
        <w:pStyle w:val="Normal"/>
        <w:spacing w:lineRule="auto" w:line="259" w:before="0" w:after="160"/>
        <w:rPr/>
      </w:pPr>
      <w:r>
        <w:rPr/>
      </w:r>
    </w:p>
    <w:p>
      <w:pPr>
        <w:pStyle w:val="Normal"/>
        <w:rPr/>
      </w:pPr>
      <w:r>
        <w:rPr/>
      </w:r>
    </w:p>
    <w:p>
      <w:pPr>
        <w:pStyle w:val="Heading2"/>
        <w:rPr/>
      </w:pPr>
      <w:bookmarkStart w:id="33" w:name="_Toc1055363"/>
      <w:r>
        <w:rPr/>
        <w:t>Table 14.2.2.7</w:t>
        <w:tab/>
        <w:tab/>
        <w:t>Summary of NYHA Class-ITT Population (N=49)</w:t>
      </w:r>
      <w:bookmarkEnd w:id="33"/>
    </w:p>
    <w:p>
      <w:pPr>
        <w:pStyle w:val="Normal"/>
        <w:rPr/>
      </w:pPr>
      <w:r>
        <w:rPr/>
      </w:r>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4513"/>
        <w:gridCol w:w="4517"/>
        <w:gridCol w:w="1363"/>
        <w:gridCol w:w="1283"/>
        <w:gridCol w:w="1284"/>
      </w:tblGrid>
      <w:tr>
        <w:trPr>
          <w:tblHeader w:val="true"/>
          <w:cantSplit w:val="true"/>
        </w:trPr>
        <w:tc>
          <w:tcPr>
            <w:tcW w:w="9030"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r>
          </w:p>
        </w:tc>
        <w:tc>
          <w:tcPr>
            <w:tcW w:w="2646" w:type="dxa"/>
            <w:gridSpan w:val="2"/>
            <w:tcBorders>
              <w:top w:val="single" w:sz="6" w:space="0" w:color="000000"/>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VNS Therapy System</w:t>
            </w:r>
          </w:p>
        </w:tc>
        <w:tc>
          <w:tcPr>
            <w:tcW w:w="1284" w:type="dxa"/>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r>
          </w:p>
        </w:tc>
      </w:tr>
      <w:tr>
        <w:trPr>
          <w:tblHeader w:val="true"/>
          <w:cantSplit w:val="true"/>
        </w:trPr>
        <w:tc>
          <w:tcPr>
            <w:tcW w:w="4513" w:type="dxa"/>
            <w:tcBorders>
              <w:left w:val="single" w:sz="6" w:space="0" w:color="000000"/>
              <w:bottom w:val="single" w:sz="2" w:space="0" w:color="000000"/>
            </w:tcBorders>
            <w:shd w:color="auto" w:fill="FFFFFF" w:val="clear"/>
            <w:vAlign w:val="bottom"/>
          </w:tcPr>
          <w:p>
            <w:pPr>
              <w:pStyle w:val="Normal"/>
              <w:keepNext w:val="true"/>
              <w:spacing w:before="80" w:after="80"/>
              <w:rPr>
                <w:rFonts w:ascii="Courier" w:hAnsi="Courier" w:cs="Courier"/>
                <w:b/>
                <w:b/>
                <w:bCs/>
                <w:color w:val="000000"/>
              </w:rPr>
            </w:pPr>
            <w:r>
              <w:rPr>
                <w:rFonts w:cs="Courier" w:ascii="Courier" w:hAnsi="Courier"/>
                <w:b/>
                <w:bCs/>
                <w:color w:val="000000"/>
              </w:rPr>
              <w:t>Visit</w:t>
            </w:r>
          </w:p>
        </w:tc>
        <w:tc>
          <w:tcPr>
            <w:tcW w:w="4517" w:type="dxa"/>
            <w:tcBorders>
              <w:left w:val="single" w:sz="2" w:space="0" w:color="000000"/>
              <w:bottom w:val="single" w:sz="2" w:space="0" w:color="000000"/>
            </w:tcBorders>
            <w:shd w:color="auto" w:fill="FFFFFF" w:val="clear"/>
            <w:vAlign w:val="bottom"/>
          </w:tcPr>
          <w:p>
            <w:pPr>
              <w:pStyle w:val="Normal"/>
              <w:keepNext w:val="true"/>
              <w:spacing w:before="80" w:after="80"/>
              <w:rPr>
                <w:rFonts w:ascii="Courier" w:hAnsi="Courier" w:cs="Courier"/>
                <w:b/>
                <w:b/>
                <w:bCs/>
                <w:color w:val="000000"/>
              </w:rPr>
            </w:pPr>
            <w:r>
              <w:rPr>
                <w:rFonts w:cs="Courier" w:ascii="Courier" w:hAnsi="Courier"/>
                <w:b/>
                <w:bCs/>
                <w:color w:val="000000"/>
              </w:rPr>
              <w:t>Category</w:t>
            </w:r>
          </w:p>
        </w:tc>
        <w:tc>
          <w:tcPr>
            <w:tcW w:w="1363"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Right Sided</w:t>
              <w:br/>
              <w:t>(N=26)</w:t>
            </w:r>
          </w:p>
        </w:tc>
        <w:tc>
          <w:tcPr>
            <w:tcW w:w="1283"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Left Sided</w:t>
              <w:br/>
              <w:t>(N=23)</w:t>
            </w:r>
          </w:p>
        </w:tc>
        <w:tc>
          <w:tcPr>
            <w:tcW w:w="1284"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Courier" w:hAnsi="Courier" w:cs="Courier"/>
                <w:b/>
                <w:b/>
                <w:bCs/>
                <w:color w:val="000000"/>
              </w:rPr>
            </w:pPr>
            <w:r>
              <w:rPr>
                <w:rFonts w:cs="Courier" w:ascii="Courier" w:hAnsi="Courier"/>
                <w:b/>
                <w:bCs/>
                <w:color w:val="000000"/>
              </w:rPr>
              <w:t>Overall</w:t>
              <w:br/>
              <w:t>(N=49)</w:t>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Change from Baseline to 12 Months Follow-up Visit</w:t>
            </w:r>
          </w:p>
        </w:tc>
        <w:tc>
          <w:tcPr>
            <w:tcW w:w="451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4517" w:type="dxa"/>
            <w:tcBorders>
              <w:left w:val="single" w:sz="2"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Total No. of Subjects</w:t>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25</w:t>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21</w:t>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46</w:t>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4517" w:type="dxa"/>
            <w:tcBorders>
              <w:left w:val="single" w:sz="2"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Improved</w:t>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25(100.0%)</w:t>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18(85.7%)</w:t>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43(93.5%)</w:t>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4517" w:type="dxa"/>
            <w:tcBorders>
              <w:left w:val="single" w:sz="2"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No change</w:t>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0(0.0%)</w:t>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3(14.3%)</w:t>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3(6.5%)</w:t>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4517" w:type="dxa"/>
            <w:tcBorders>
              <w:left w:val="single" w:sz="2"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Worsened</w:t>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0(0.0%)</w:t>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0(0.0%)</w:t>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0(0.0%)</w:t>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Change from Baseline to 24 Months Follow-up Visit</w:t>
            </w:r>
          </w:p>
        </w:tc>
        <w:tc>
          <w:tcPr>
            <w:tcW w:w="4517" w:type="dxa"/>
            <w:tcBorders>
              <w:left w:val="single" w:sz="2"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4517" w:type="dxa"/>
            <w:tcBorders>
              <w:left w:val="single" w:sz="2"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Total No. of Subjects</w:t>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21</w:t>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19</w:t>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40</w:t>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4517" w:type="dxa"/>
            <w:tcBorders>
              <w:left w:val="single" w:sz="2"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Improved</w:t>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20(95.2%)</w:t>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16(84.2%)</w:t>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36(90.0%)</w:t>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4517" w:type="dxa"/>
            <w:tcBorders>
              <w:left w:val="single" w:sz="2"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No change</w:t>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1(4.8%)</w:t>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1(5.3%)</w:t>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2(5.0%)</w:t>
            </w:r>
          </w:p>
        </w:tc>
      </w:tr>
      <w:tr>
        <w:trPr>
          <w:cantSplit w:val="true"/>
        </w:trPr>
        <w:tc>
          <w:tcPr>
            <w:tcW w:w="4513" w:type="dxa"/>
            <w:tcBorders>
              <w:left w:val="single" w:sz="6" w:space="0" w:color="000000"/>
              <w:bottom w:val="single" w:sz="2" w:space="0" w:color="000000"/>
            </w:tcBorders>
            <w:shd w:color="auto" w:fill="FFFFFF" w:val="clear"/>
          </w:tcPr>
          <w:p>
            <w:pPr>
              <w:pStyle w:val="Normal"/>
              <w:spacing w:before="80" w:after="80"/>
              <w:jc w:val="center"/>
              <w:rPr>
                <w:rFonts w:ascii="Courier" w:hAnsi="Courier" w:cs="Courier"/>
                <w:b/>
                <w:b/>
                <w:bCs/>
                <w:color w:val="000000"/>
              </w:rPr>
            </w:pPr>
            <w:r>
              <w:rPr>
                <w:rFonts w:cs="Courier" w:ascii="Courier" w:hAnsi="Courier"/>
                <w:b/>
                <w:bCs/>
                <w:color w:val="000000"/>
              </w:rPr>
            </w:r>
          </w:p>
        </w:tc>
        <w:tc>
          <w:tcPr>
            <w:tcW w:w="4517" w:type="dxa"/>
            <w:tcBorders>
              <w:left w:val="single" w:sz="2" w:space="0" w:color="000000"/>
              <w:bottom w:val="single" w:sz="2" w:space="0" w:color="000000"/>
            </w:tcBorders>
            <w:shd w:color="auto" w:fill="FFFFFF" w:val="clear"/>
          </w:tcPr>
          <w:p>
            <w:pPr>
              <w:pStyle w:val="Normal"/>
              <w:spacing w:before="80" w:after="80"/>
              <w:rPr>
                <w:rFonts w:ascii="Courier" w:hAnsi="Courier" w:cs="Courier"/>
                <w:b/>
                <w:b/>
                <w:bCs/>
                <w:color w:val="000000"/>
              </w:rPr>
            </w:pPr>
            <w:r>
              <w:rPr>
                <w:rFonts w:cs="Courier" w:ascii="Courier" w:hAnsi="Courier"/>
                <w:b/>
                <w:bCs/>
                <w:color w:val="000000"/>
              </w:rPr>
              <w:t>Worsened</w:t>
            </w:r>
          </w:p>
        </w:tc>
        <w:tc>
          <w:tcPr>
            <w:tcW w:w="136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0(0.0%)</w:t>
            </w:r>
          </w:p>
        </w:tc>
        <w:tc>
          <w:tcPr>
            <w:tcW w:w="1283" w:type="dxa"/>
            <w:tcBorders>
              <w:left w:val="single" w:sz="2" w:space="0" w:color="000000"/>
              <w:bottom w:val="single" w:sz="2"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1(5.3%)</w:t>
            </w:r>
          </w:p>
        </w:tc>
        <w:tc>
          <w:tcPr>
            <w:tcW w:w="128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Courier" w:hAnsi="Courier" w:cs="Courier"/>
                <w:color w:val="000000"/>
              </w:rPr>
            </w:pPr>
            <w:r>
              <w:rPr>
                <w:rFonts w:cs="Courier" w:ascii="Courier" w:hAnsi="Courier"/>
                <w:color w:val="000000"/>
              </w:rPr>
              <w:t>1(2.5%)</w:t>
            </w:r>
          </w:p>
        </w:tc>
      </w:tr>
      <w:tr>
        <w:trPr>
          <w:cantSplit w:val="true"/>
        </w:trPr>
        <w:tc>
          <w:tcPr>
            <w:tcW w:w="4513" w:type="dxa"/>
            <w:tcBorders>
              <w:left w:val="single" w:sz="6" w:space="0" w:color="000000"/>
              <w:bottom w:val="single" w:sz="2" w:space="0" w:color="000000"/>
            </w:tcBorders>
            <w:shd w:color="auto" w:fill="FFFFFF" w:val="clear"/>
          </w:tcPr>
          <w:p>
            <w:pPr>
              <w:pStyle w:val="Normal"/>
              <w:keepNext w:val="true"/>
              <w:spacing w:before="80" w:after="80"/>
              <w:jc w:val="center"/>
              <w:rPr>
                <w:rFonts w:ascii="Courier" w:hAnsi="Courier" w:cs="Courier"/>
                <w:b/>
                <w:b/>
                <w:bCs/>
                <w:color w:val="000000"/>
              </w:rPr>
            </w:pPr>
            <w:r>
              <w:rPr>
                <w:rFonts w:cs="Courier" w:ascii="Courier" w:hAnsi="Courier"/>
                <w:b/>
                <w:bCs/>
                <w:color w:val="000000"/>
              </w:rPr>
            </w:r>
          </w:p>
        </w:tc>
        <w:tc>
          <w:tcPr>
            <w:tcW w:w="4517" w:type="dxa"/>
            <w:tcBorders>
              <w:left w:val="single" w:sz="2" w:space="0" w:color="000000"/>
              <w:bottom w:val="single" w:sz="2" w:space="0" w:color="000000"/>
            </w:tcBorders>
            <w:shd w:color="auto" w:fill="FFFFFF" w:val="clear"/>
          </w:tcPr>
          <w:p>
            <w:pPr>
              <w:pStyle w:val="Normal"/>
              <w:keepNext w:val="true"/>
              <w:spacing w:before="80" w:after="80"/>
              <w:rPr>
                <w:rFonts w:ascii="Courier" w:hAnsi="Courier" w:cs="Courier"/>
                <w:b/>
                <w:b/>
                <w:bCs/>
                <w:color w:val="000000"/>
              </w:rPr>
            </w:pPr>
            <w:r>
              <w:rPr>
                <w:rFonts w:cs="Courier" w:ascii="Courier" w:hAnsi="Courier"/>
                <w:b/>
                <w:bCs/>
                <w:color w:val="000000"/>
              </w:rPr>
              <w:t>p-value [2]</w:t>
            </w:r>
          </w:p>
        </w:tc>
        <w:tc>
          <w:tcPr>
            <w:tcW w:w="1363" w:type="dxa"/>
            <w:tcBorders>
              <w:left w:val="single" w:sz="2" w:space="0" w:color="000000"/>
              <w:bottom w:val="single" w:sz="2" w:space="0" w:color="000000"/>
            </w:tcBorders>
            <w:shd w:color="auto" w:fill="FFFFFF" w:val="clear"/>
          </w:tcPr>
          <w:p>
            <w:pPr>
              <w:pStyle w:val="Normal"/>
              <w:keepNext w:val="true"/>
              <w:spacing w:before="80" w:after="80"/>
              <w:jc w:val="right"/>
              <w:rPr>
                <w:rFonts w:ascii="Courier" w:hAnsi="Courier" w:cs="Courier"/>
                <w:color w:val="000000"/>
              </w:rPr>
            </w:pPr>
            <w:r>
              <w:rPr>
                <w:rFonts w:cs="Courier" w:ascii="Courier" w:hAnsi="Courier"/>
                <w:color w:val="000000"/>
              </w:rPr>
            </w:r>
          </w:p>
        </w:tc>
        <w:tc>
          <w:tcPr>
            <w:tcW w:w="1283" w:type="dxa"/>
            <w:tcBorders>
              <w:left w:val="single" w:sz="2" w:space="0" w:color="000000"/>
              <w:bottom w:val="single" w:sz="2" w:space="0" w:color="000000"/>
            </w:tcBorders>
            <w:shd w:color="auto" w:fill="FFFFFF" w:val="clear"/>
          </w:tcPr>
          <w:p>
            <w:pPr>
              <w:pStyle w:val="Normal"/>
              <w:keepNext w:val="true"/>
              <w:spacing w:before="80" w:after="80"/>
              <w:jc w:val="right"/>
              <w:rPr>
                <w:rFonts w:ascii="Courier" w:hAnsi="Courier" w:cs="Courier"/>
                <w:color w:val="000000"/>
              </w:rPr>
            </w:pPr>
            <w:r>
              <w:rPr>
                <w:rFonts w:cs="Courier" w:ascii="Courier" w:hAnsi="Courier"/>
                <w:color w:val="000000"/>
              </w:rPr>
              <w:t>0.0490</w:t>
            </w:r>
          </w:p>
        </w:tc>
        <w:tc>
          <w:tcPr>
            <w:tcW w:w="128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right"/>
              <w:rPr>
                <w:rFonts w:ascii="Courier" w:hAnsi="Courier" w:cs="Courier"/>
                <w:color w:val="000000"/>
              </w:rPr>
            </w:pPr>
            <w:r>
              <w:rPr>
                <w:rFonts w:cs="Courier" w:ascii="Courier" w:hAnsi="Courier"/>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Courier" w:hAnsi="Courier" w:cs="Courier"/>
                <w:color w:val="000000"/>
              </w:rPr>
            </w:pPr>
            <w:r>
              <w:rPr>
                <w:rFonts w:cs="Courier" w:ascii="Courier" w:hAnsi="Courier"/>
                <w:b/>
                <w:bCs/>
                <w:color w:val="000000"/>
              </w:rPr>
              <w:t>Note:</w:t>
            </w:r>
            <w:r>
              <w:rPr>
                <w:rFonts w:cs="Courier" w:ascii="Courier" w:hAnsi="Courier"/>
                <w:color w:val="000000"/>
              </w:rPr>
              <w:br/>
              <w:t>[1] Respective Subject count was used as denominator for percentage calculation.</w:t>
              <w:br/>
              <w:t>[2] p-value was calculated using CMH test with time (Baseline,12 Months Follow-up Visit and 30 Months Follow-up Visit) as a repeated measure.</w:t>
              <w:br/>
              <w:br/>
            </w:r>
            <w:r>
              <w:rPr>
                <w:rFonts w:cs="Courier" w:ascii="Courier" w:hAnsi="Courier"/>
                <w:b/>
                <w:bCs/>
                <w:color w:val="000000"/>
              </w:rPr>
              <w:t>General Note:</w:t>
            </w:r>
            <w:r>
              <w:rPr>
                <w:rFonts w:cs="Courier" w:ascii="Courier" w:hAnsi="Courier"/>
                <w:color w:val="000000"/>
              </w:rPr>
              <w:br/>
              <w:t>Improved -Decrease in NYHA class</w:t>
              <w:br/>
              <w:t>No Change-Same NYHA class in both the visits</w:t>
              <w:br/>
              <w:t>Worsened -Increase NYHA class</w:t>
            </w:r>
          </w:p>
        </w:tc>
      </w:tr>
    </w:tbl>
    <w:p>
      <w:pPr>
        <w:pStyle w:val="Normal"/>
        <w:rPr/>
      </w:pPr>
      <w:r>
        <w:rPr/>
      </w:r>
    </w:p>
    <w:p>
      <w:pPr>
        <w:pStyle w:val="Normal"/>
        <w:rPr/>
      </w:pPr>
      <w:r>
        <w:rPr/>
      </w:r>
    </w:p>
    <w:p>
      <w:pPr>
        <w:pStyle w:val="Normal"/>
        <w:rPr/>
      </w:pPr>
      <w:r>
        <w:rPr/>
      </w:r>
    </w:p>
    <w:p>
      <w:pPr>
        <w:pStyle w:val="Heading2"/>
        <w:rPr>
          <w:b w:val="false"/>
          <w:b w:val="false"/>
        </w:rPr>
      </w:pPr>
      <w:r>
        <w:rPr>
          <w:b w:val="false"/>
        </w:rPr>
      </w:r>
      <w:r>
        <w:br w:type="page"/>
      </w:r>
    </w:p>
    <w:p>
      <w:pPr>
        <w:pStyle w:val="Heading2"/>
        <w:rPr/>
      </w:pPr>
      <w:bookmarkStart w:id="34" w:name="_Toc1055364"/>
      <w:r>
        <w:rPr/>
        <w:t>Table 14.2.2.8d</w:t>
        <w:tab/>
        <w:tab/>
        <w:t>Summary of Heart Rate by Holter ECG (Average HR-24 Hour (bpm))- ITT Population(N=49)</w:t>
      </w:r>
      <w:bookmarkEnd w:id="34"/>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2589"/>
        <w:gridCol w:w="2592"/>
        <w:gridCol w:w="2592"/>
        <w:gridCol w:w="2592"/>
        <w:gridCol w:w="2595"/>
      </w:tblGrid>
      <w:tr>
        <w:trPr>
          <w:tblHeader w:val="true"/>
          <w:cantSplit w:val="true"/>
        </w:trPr>
        <w:tc>
          <w:tcPr>
            <w:tcW w:w="5181"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7779" w:type="dxa"/>
            <w:gridSpan w:val="3"/>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2589" w:type="dxa"/>
            <w:tcBorders>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Average HR-24 Hour (bpm)</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Baseline</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76.7</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75.3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10.4</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9.16</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9.76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(56.0: 99.0)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(59.0: 94.0)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(56.0: 99.0)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(72.5: 80.9)</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(71.3: 79.3)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(73.2: 78.8)</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Status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Normal</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 (96.2 %)</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 (100 %)</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 (98.0 %)</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Abnormal</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 (3.85 %)</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 (2.04 %)</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Clinically Significant</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 (100 %)</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 (100 %)</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9 months Follow-up Visit</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68.4</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72.5</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70.3</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10.7</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(53.0: 95.0)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(54.0: 94.0)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(53.0: 95.0)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(63.8: 73)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 78)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(66.8: 73.7)</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Status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Normal</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 (100 %)</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 (100 %)</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 (100 %)</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Abnormal</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Clinically Significant</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12 months Follow-up Visit</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69.3</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70.2</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69.7</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8.65</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11.1</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9.77</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(55.0: 87.0)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(52.0: 90.0)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(52.0: 90.0)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(65.7: 72.9)</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(65.2: 75.3)</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(66.8: 72.6)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Status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Normal</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 (100 %)</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 (100 %)</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 (100 %)</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Abnormal</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Clinically Significant</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24 months Follow-up Visit</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68.4</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70.9</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69.7</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9.57</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9.25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67.5</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 87.0)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(57.0: 85.0)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 87.0)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(63.7: 73.2)</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(66.5: 75.4)</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(66.6: 72.8)</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Status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Normal</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 (85.7 %)</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 (94.7 %)</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 (90.0 %)</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Abnormal</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Clinically Significant</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Yes</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2589"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2"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 (0.00%)</w:t>
            </w:r>
          </w:p>
        </w:tc>
        <w:tc>
          <w:tcPr>
            <w:tcW w:w="2595"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 (0.00%)</w:t>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r>
    </w:tbl>
    <w:p>
      <w:pPr>
        <w:pStyle w:val="Normal"/>
        <w:rPr/>
      </w:pPr>
      <w:r>
        <w:rPr/>
      </w:r>
    </w:p>
    <w:p>
      <w:pPr>
        <w:pStyle w:val="Heading2"/>
        <w:rPr/>
      </w:pPr>
      <w:bookmarkStart w:id="35" w:name="_Toc1055365"/>
      <w:r>
        <w:rPr/>
        <w:t>Table 14.2.2.9d</w:t>
        <w:tab/>
        <w:tab/>
        <w:t>Summary of Change in Heart Rate Variability Average HR-24 Hour (bpm) -ITT Population(N=49)</w:t>
      </w:r>
      <w:bookmarkEnd w:id="35"/>
    </w:p>
    <w:tbl>
      <w:tblPr>
        <w:tblW w:w="5000" w:type="pct"/>
        <w:jc w:val="center"/>
        <w:tblInd w:w="0" w:type="dxa"/>
        <w:tblCellMar>
          <w:top w:w="0" w:type="dxa"/>
          <w:left w:w="60" w:type="dxa"/>
          <w:bottom w:w="0" w:type="dxa"/>
          <w:right w:w="60" w:type="dxa"/>
        </w:tblCellMar>
        <w:tblLook w:val="0000" w:noHBand="0" w:noVBand="0" w:firstColumn="0" w:lastRow="0" w:lastColumn="0" w:firstRow="0"/>
      </w:tblPr>
      <w:tblGrid>
        <w:gridCol w:w="4084"/>
        <w:gridCol w:w="2320"/>
        <w:gridCol w:w="1638"/>
        <w:gridCol w:w="1638"/>
        <w:gridCol w:w="1639"/>
        <w:gridCol w:w="1640"/>
      </w:tblGrid>
      <w:tr>
        <w:trPr>
          <w:tblHeader w:val="true"/>
          <w:cantSplit w:val="true"/>
        </w:trPr>
        <w:tc>
          <w:tcPr>
            <w:tcW w:w="6404"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6555" w:type="dxa"/>
            <w:gridSpan w:val="4"/>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4084" w:type="dxa"/>
            <w:tcBorders>
              <w:left w:val="single" w:sz="6"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b/>
                <w:b/>
                <w:bCs/>
                <w:color w:val="000000"/>
              </w:rPr>
            </w:pPr>
            <w:r>
              <w:rPr>
                <w:rFonts w:cs="Times New Roman" w:ascii="Times New Roman" w:hAnsi="Times New Roman"/>
                <w:b/>
                <w:bCs/>
                <w:color w:val="000000"/>
              </w:rPr>
              <w:t>Parameters/Visit</w:t>
            </w:r>
          </w:p>
        </w:tc>
        <w:tc>
          <w:tcPr>
            <w:tcW w:w="2320" w:type="dxa"/>
            <w:tcBorders>
              <w:left w:val="single" w:sz="2"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b/>
                <w:b/>
                <w:bCs/>
                <w:color w:val="000000"/>
              </w:rPr>
            </w:pPr>
            <w:r>
              <w:rPr>
                <w:rFonts w:cs="Times New Roman" w:ascii="Times New Roman" w:hAnsi="Times New Roman"/>
                <w:b/>
                <w:bCs/>
                <w:color w:val="000000"/>
              </w:rPr>
              <w:t>Statistics</w:t>
            </w:r>
          </w:p>
        </w:tc>
        <w:tc>
          <w:tcPr>
            <w:tcW w:w="1638"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638"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1639" w:type="dxa"/>
            <w:tcBorders>
              <w:left w:val="single" w:sz="2"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Change from Baseline to 9 months Follow-up Visit</w:t>
            </w:r>
          </w:p>
        </w:tc>
        <w:tc>
          <w:tcPr>
            <w:tcW w:w="2320"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22</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18</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-7.09</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-2.83</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-5.18</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9.69</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9.04</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9.53</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-13.0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-9.00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-11.0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-3.50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-4.00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-3.50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-3.00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2.00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0.50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Range(Min.:Max.)</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(-29.0: 14.0)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(-18.0: 15.0)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(-29.0: 15.0)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4</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5</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9</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Change from Baseline to 12 months Follow-up Visit</w:t>
            </w:r>
          </w:p>
        </w:tc>
        <w:tc>
          <w:tcPr>
            <w:tcW w:w="2320"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25</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21</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-6.52</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-4.76</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-5.72</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8.95</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9.13</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8.98</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-12.0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-11.0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-12.0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-5.00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-6.00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-6.00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0.00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2.00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0.00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Range(Min.:Max.)</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(-26.0: 9.00)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(-19.0: 11.0)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(-26.0: 11.0)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Change from Baseline to 24 months Follow-up Visit</w:t>
            </w:r>
          </w:p>
        </w:tc>
        <w:tc>
          <w:tcPr>
            <w:tcW w:w="2320"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18</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18</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36</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-7.56</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-4.50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-6.03</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11.0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11.4</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11.1</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-20.0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-12.0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-14.0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-6.00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-2.50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-4.50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-1.00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2.00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1.50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Range(Min.:Max.)</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(-24.0: 10.0)</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(-33.0: 14.0)</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(-33.0: 14.0)</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8</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5</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13</w:t>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-6.53</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-4.25</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-2.28</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SE [2]</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2.89</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(-8.11: 3.55)</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0.434</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0.0025</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0.2014</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-6.42</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-4.76</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-1.66</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SE [2]</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2.65</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(-7.00: 3.69)</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0.536</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0.0013</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0.0268</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-7.46</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-5.01</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-2.46</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SE [2]</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3.49</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(-9.53: 4.62)</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spacing w:before="60" w:after="6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t>0.486</w:t>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spacing w:before="60" w:after="6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vAlign w:val="center"/>
          </w:tcPr>
          <w:p>
            <w:pPr>
              <w:pStyle w:val="Normal"/>
              <w:spacing w:before="60" w:after="6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vAlign w:val="center"/>
          </w:tcPr>
          <w:p>
            <w:pPr>
              <w:pStyle w:val="Normal"/>
              <w:keepNext w:val="true"/>
              <w:spacing w:before="60" w:after="6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vAlign w:val="center"/>
          </w:tcPr>
          <w:p>
            <w:pPr>
              <w:pStyle w:val="Normal"/>
              <w:keepNext w:val="true"/>
              <w:spacing w:before="60" w:after="6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vAlign w:val="center"/>
          </w:tcPr>
          <w:p>
            <w:pPr>
              <w:pStyle w:val="Normal"/>
              <w:keepNext w:val="true"/>
              <w:spacing w:before="60" w:after="60"/>
              <w:jc w:val="right"/>
              <w:rPr>
                <w:rFonts w:ascii="Times New Roman" w:hAnsi="Times New Roman" w:cs="Times New Roman"/>
                <w:color w:val="000000"/>
              </w:rPr>
            </w:pPr>
            <w:r>
              <w:rPr>
                <w:rFonts w:cs="Times New Roman" w:ascii="Times New Roman" w:hAnsi="Times New Roman"/>
                <w:color w:val="000000"/>
              </w:rPr>
              <w:t>0.0095</w:t>
            </w:r>
          </w:p>
        </w:tc>
        <w:tc>
          <w:tcPr>
            <w:tcW w:w="1638" w:type="dxa"/>
            <w:tcBorders>
              <w:left w:val="single" w:sz="2" w:space="0" w:color="000000"/>
              <w:bottom w:val="single" w:sz="2" w:space="0" w:color="000000"/>
            </w:tcBorders>
            <w:shd w:color="auto" w:fill="FFFFFF" w:val="clear"/>
            <w:vAlign w:val="center"/>
          </w:tcPr>
          <w:p>
            <w:pPr>
              <w:pStyle w:val="Normal"/>
              <w:keepNext w:val="true"/>
              <w:spacing w:before="60" w:after="60"/>
              <w:jc w:val="right"/>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vAlign w:val="center"/>
          </w:tcPr>
          <w:p>
            <w:pPr>
              <w:pStyle w:val="Normal"/>
              <w:keepNext w:val="true"/>
              <w:spacing w:before="60" w:after="60"/>
              <w:jc w:val="right"/>
              <w:rPr>
                <w:rFonts w:ascii="Times New Roman" w:hAnsi="Times New Roman" w:cs="Times New Roman"/>
                <w:color w:val="000000"/>
              </w:rPr>
            </w:pPr>
            <w:r>
              <w:rPr>
                <w:rFonts w:cs="Times New Roman" w:ascii="Times New Roman" w:hAnsi="Times New Roman"/>
                <w:color w:val="000000"/>
              </w:rPr>
              <w:t>0.1125</w:t>
            </w:r>
          </w:p>
        </w:tc>
        <w:tc>
          <w:tcPr>
            <w:tcW w:w="1640"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60" w:after="6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12959" w:type="dxa"/>
            <w:gridSpan w:val="6"/>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60" w:after="6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Difference estimate indicate Difference [(Right Sided) – (Left Sided)].</w:t>
              <w:br/>
              <w:t>[2] SE indicates Standard Error of Differences [[(Right Sided) – (Left Sided)].</w:t>
              <w:br/>
              <w:t>[3] Mean change in Heart Rate by Holter ECG  was compared between the two VNS Therapy System using Mixed Model for Repeated</w:t>
              <w:br/>
              <w:t>    Measures (MMRM), with VNS Therapy System (Right/Left Sided), Visit, VNS Therapy System*Visit as factors.</w:t>
              <w:br/>
              <w:t>[2] P-value for comparing baseline assessment to consecutive visits i.e.9 month vs. baseline, 12 month vs. baseline, 24 month vs  baseline) computed from paired t-test.</w:t>
              <w:br/>
            </w:r>
            <w:r>
              <w:rPr>
                <w:rFonts w:cs="Times New Roman" w:ascii="Times New Roman" w:hAnsi="Times New Roman"/>
                <w:b/>
                <w:bCs/>
                <w:color w:val="000000"/>
              </w:rPr>
              <w:t>General Note:</w:t>
            </w:r>
            <w:r>
              <w:rPr>
                <w:rFonts w:cs="Times New Roman" w:ascii="Times New Roman" w:hAnsi="Times New Roman"/>
                <w:color w:val="000000"/>
              </w:rPr>
              <w:br/>
              <w:t xml:space="preserve">   If the interaction is not significant, Right-sided and Left sided implant groups was pooled for further analysis by omitting al factors involving side of the implant from ANOVA.</w:t>
            </w:r>
          </w:p>
        </w:tc>
      </w:tr>
    </w:tbl>
    <w:p>
      <w:pPr>
        <w:pStyle w:val="Normal"/>
        <w:rPr/>
      </w:pPr>
      <w:r>
        <w:rPr/>
      </w:r>
    </w:p>
    <w:p>
      <w:pPr>
        <w:pStyle w:val="Normal"/>
        <w:rPr/>
      </w:pPr>
      <w:r>
        <w:rPr/>
      </w:r>
    </w:p>
    <w:p>
      <w:pPr>
        <w:pStyle w:val="Normal"/>
        <w:rPr/>
      </w:pPr>
      <w:r>
        <w:rPr/>
      </w:r>
    </w:p>
    <w:p>
      <w:pPr>
        <w:pStyle w:val="Normal"/>
        <w:spacing w:before="10" w:after="10"/>
        <w:rPr/>
      </w:pPr>
      <w:r>
        <w:rPr/>
      </w:r>
      <w:r>
        <w:br w:type="page"/>
      </w:r>
    </w:p>
    <w:p>
      <w:pPr>
        <w:pStyle w:val="Heading2"/>
        <w:rPr/>
      </w:pPr>
      <w:bookmarkStart w:id="36" w:name="_Toc1055366"/>
      <w:r>
        <w:rPr/>
        <w:t>Table 14.2.2.9d_a</w:t>
        <w:tab/>
        <w:tab/>
        <w:t>Summary of Change in Heart Rate by Holter ECG - Average HR-24 Hour (bpm)(Pooled Analysis) (N=49)</w:t>
      </w:r>
      <w:bookmarkEnd w:id="36"/>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6594"/>
        <w:gridCol w:w="3742"/>
        <w:gridCol w:w="2624"/>
      </w:tblGrid>
      <w:tr>
        <w:trPr>
          <w:tblHeader w:val="true"/>
          <w:cantSplit w:val="true"/>
        </w:trPr>
        <w:tc>
          <w:tcPr>
            <w:tcW w:w="6594" w:type="dxa"/>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3742" w:type="dxa"/>
            <w:tcBorders>
              <w:top w:val="single" w:sz="6" w:space="0" w:color="000000"/>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2624" w:type="dxa"/>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br/>
              <w:t>(N=49)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months Follow-up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-5.18</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(-29.0: 15.0)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-4.98</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(-7.88: -2.09)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0.0012</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0.0014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6 months Follow-up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-5.72</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8.98</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(-26.0: 11.0)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-5.69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(-8.32: -3.05)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&lt;.0001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18 months Follow-up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-6.03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(-33.0: 14.0)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-6.13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(-9.65: -2.60 )</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0.0011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[4]</w:t>
            </w:r>
          </w:p>
        </w:tc>
        <w:tc>
          <w:tcPr>
            <w:tcW w:w="262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0.0026</w:t>
            </w:r>
          </w:p>
        </w:tc>
      </w:tr>
      <w:tr>
        <w:trPr>
          <w:cantSplit w:val="true"/>
        </w:trPr>
        <w:tc>
          <w:tcPr>
            <w:tcW w:w="12960" w:type="dxa"/>
            <w:gridSpan w:val="3"/>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Difference estimate indicate Difference [baseline vs 3 months, baseline vs 6 months].</w:t>
              <w:br/>
              <w:t>[2] SE indicates Standard Error of Differences [baseline vs 3 months ,baseline vs 6 months].</w:t>
              <w:br/>
              <w:t>[3] Mean change in  Heart Rate by Holter ECG  was compared the Pooled VNS Therapy System using Mixed Model for Repeated</w:t>
              <w:br/>
              <w:t>   Measures (MMRM) .</w:t>
            </w:r>
          </w:p>
        </w:tc>
      </w:tr>
    </w:tbl>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Heading2"/>
        <w:rPr/>
      </w:pPr>
      <w:bookmarkStart w:id="37" w:name="_Toc1055367"/>
      <w:r>
        <w:rPr/>
        <w:t>Table 14.2.2.10</w:t>
        <w:tab/>
        <w:tab/>
        <w:t>Summary of Heart Rate Variability by Holter ECG (SDNN (ms)) at Each Visit(N=49)</w:t>
      </w:r>
      <w:bookmarkEnd w:id="37"/>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3528"/>
        <w:gridCol w:w="2359"/>
        <w:gridCol w:w="2360"/>
        <w:gridCol w:w="2359"/>
        <w:gridCol w:w="2354"/>
      </w:tblGrid>
      <w:tr>
        <w:trPr>
          <w:tblHeader w:val="true"/>
          <w:cantSplit w:val="true"/>
        </w:trPr>
        <w:tc>
          <w:tcPr>
            <w:tcW w:w="5887"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7073" w:type="dxa"/>
            <w:gridSpan w:val="3"/>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3528"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2359" w:type="dxa"/>
            <w:tcBorders>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2360"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359"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354"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SDNN (ms)</w:t>
            </w:r>
          </w:p>
        </w:tc>
        <w:tc>
          <w:tcPr>
            <w:tcW w:w="235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6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Baseline</w:t>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95.7</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102</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98.8</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28.6</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51.0</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40.3</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69.5</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81.5</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69.5</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91.5</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98.1</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110</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117</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113</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(47.0:161)</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(46.3:286)</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(46.3:286)</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6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9 months Follow-up Visit</w:t>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101</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96.6</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98.9</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30.6</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40.6</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35.3</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82.1</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81.0</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81.2</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89.1</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87.6</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87.6</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122</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111</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111</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(54.0:182)</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(53.6:242)</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(53.6:242)</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6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12 months Follow-up Visit</w:t>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106</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113</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109</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29.8</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49.9</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39.9</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82.9</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77.0</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82.0</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103</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105</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104</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126</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115</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126</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(68.0:181)</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(63.4:280)</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(63.4:280)</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6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24 months Follow-up Visit</w:t>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No. of Subjects</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114</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101</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107</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44.4</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42.3</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43.3</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84.0</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70.5</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82.0</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104</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95.0</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98.4</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123</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127</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123</w:t>
            </w:r>
          </w:p>
        </w:tc>
      </w:tr>
      <w:tr>
        <w:trPr>
          <w:cantSplit w:val="true"/>
        </w:trPr>
        <w:tc>
          <w:tcPr>
            <w:tcW w:w="3528"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360"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(62.7:243)</w:t>
            </w:r>
          </w:p>
        </w:tc>
        <w:tc>
          <w:tcPr>
            <w:tcW w:w="235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(29.0:209)</w:t>
            </w:r>
          </w:p>
        </w:tc>
        <w:tc>
          <w:tcPr>
            <w:tcW w:w="235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(29.0:243)</w:t>
            </w:r>
          </w:p>
        </w:tc>
      </w:tr>
      <w:tr>
        <w:trPr>
          <w:cantSplit w:val="true"/>
        </w:trPr>
        <w:tc>
          <w:tcPr>
            <w:tcW w:w="3528"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60"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9"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3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r>
          </w:p>
        </w:tc>
      </w:tr>
    </w:tbl>
    <w:p>
      <w:pPr>
        <w:pStyle w:val="Normal"/>
        <w:rPr/>
      </w:pPr>
      <w:r>
        <w:rPr/>
      </w:r>
    </w:p>
    <w:p>
      <w:pPr>
        <w:pStyle w:val="Heading2"/>
        <w:rPr/>
      </w:pPr>
      <w:bookmarkStart w:id="38" w:name="_Toc1055368"/>
      <w:r>
        <w:rPr/>
        <w:t>Table 14.2.2.11</w:t>
        <w:tab/>
        <w:tab/>
        <w:t>Summary of Change in Heart Rate variability SDNN (ms) -ITT Population (N=49)</w:t>
      </w:r>
      <w:bookmarkEnd w:id="38"/>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4084"/>
        <w:gridCol w:w="2320"/>
        <w:gridCol w:w="1638"/>
        <w:gridCol w:w="1638"/>
        <w:gridCol w:w="1639"/>
        <w:gridCol w:w="1640"/>
      </w:tblGrid>
      <w:tr>
        <w:trPr>
          <w:tblHeader w:val="true"/>
          <w:cantSplit w:val="true"/>
        </w:trPr>
        <w:tc>
          <w:tcPr>
            <w:tcW w:w="6404" w:type="dxa"/>
            <w:gridSpan w:val="2"/>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6555" w:type="dxa"/>
            <w:gridSpan w:val="4"/>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4084"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2320" w:type="dxa"/>
            <w:tcBorders>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163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638"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1639"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640"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-8.31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-2.39</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26.7</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69.6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51.1</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-19.4</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11.7</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1.25</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(-37.9:54.0)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(-232:117)</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(-232:117)</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-12.9</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15.2</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16.2</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(-18.1: 48.6)</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0.36</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0.6408</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0.6292</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8.90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8.83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8.87</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39.7</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57.6</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48.0</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-20.3</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-8.55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7.65</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9.05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7.65</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32.2</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39.7</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(-64.0:101)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(-187:104)</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(-187:104)</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8.90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8.83</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0.0742</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15.2</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(-30.9: 31.0)</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1.00</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0.2830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0.5011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months follow up Visit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16.6</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7.37</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35.4</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76.9</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59.7</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-7.50</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-16.5</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18.6</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3.40</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14.1</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37.2</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33.6</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(-47.0:82.5)</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(-257:121)</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(-257:121)</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w:t>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13.7</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4.47</w:t>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Difference Estimate [1]</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9.24</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 [2]</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19.9</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(-32.1: 50.6)</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[3]</w:t>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0.65</w:t>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2320"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8"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39"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1640"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4084"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320"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p-value [4]</w:t>
            </w:r>
          </w:p>
        </w:tc>
        <w:tc>
          <w:tcPr>
            <w:tcW w:w="1638"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0.0640</w:t>
            </w:r>
          </w:p>
        </w:tc>
        <w:tc>
          <w:tcPr>
            <w:tcW w:w="1638"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639" w:type="dxa"/>
            <w:tcBorders>
              <w:left w:val="single" w:sz="2" w:space="0" w:color="000000"/>
              <w:bottom w:val="single" w:sz="2" w:space="0" w:color="000000"/>
            </w:tcBorders>
            <w:shd w:color="auto" w:fill="FFFFFF" w:val="clea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0.9215</w:t>
            </w:r>
          </w:p>
        </w:tc>
        <w:tc>
          <w:tcPr>
            <w:tcW w:w="1640"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59" w:type="dxa"/>
            <w:gridSpan w:val="6"/>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Difference estimate indicate Difference [(Right Sided) – (Left Sided)].</w:t>
              <w:br/>
              <w:t>[2] SE indicates Standard Error of Differences [[(Right Sided) – (Left Sided)].</w:t>
              <w:br/>
              <w:t>[3] Mean change in SDNN (ms) was compared between the two VNS Therapy System using Mixed Model for</w:t>
              <w:br/>
              <w:t>    , with VNS Therapy System (Right/Left Sided),Visit, VNS Therapy System*Visit as factors.</w:t>
              <w:br/>
              <w:t>[4] P-value for comparing baseline assessment to consecutive visits i.e.9 month vs. baseline, 12 month vs. baseline, 24 month vs. baseline) computed from paired t-test.</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39" w:name="_Toc1055369"/>
      <w:r>
        <w:rPr/>
        <w:t>Table 14.2.2.11-a</w:t>
        <w:tab/>
        <w:tab/>
        <w:t>Summary of Change in Heart Rate variability (SDNN (ms)) (Pooled Analysis) -ITT Population (N=49)</w:t>
      </w:r>
      <w:bookmarkEnd w:id="39"/>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6594"/>
        <w:gridCol w:w="3742"/>
        <w:gridCol w:w="2624"/>
      </w:tblGrid>
      <w:tr>
        <w:trPr>
          <w:tblHeader w:val="true"/>
          <w:cantSplit w:val="true"/>
        </w:trPr>
        <w:tc>
          <w:tcPr>
            <w:tcW w:w="6594" w:type="dxa"/>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Parameters/Visit</w:t>
            </w:r>
          </w:p>
        </w:tc>
        <w:tc>
          <w:tcPr>
            <w:tcW w:w="3742" w:type="dxa"/>
            <w:tcBorders>
              <w:top w:val="single" w:sz="6" w:space="0" w:color="000000"/>
              <w:left w:val="single" w:sz="2"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w:t>
            </w:r>
          </w:p>
        </w:tc>
        <w:tc>
          <w:tcPr>
            <w:tcW w:w="2624" w:type="dxa"/>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br/>
              <w:t>(N=49)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9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51.1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1.25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(-232:117)</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-4.25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(-19.6: 11.1)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0.58</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0.7811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12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8.87</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48.0</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7.65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Range(Min.:Max.)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(-187:104)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8.87</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7.24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(-5.73: 23.5)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0.2272</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Change from Baseline to 24 months follow up Visit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7.37</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59.7</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-16.5</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33.6</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(Min.:Max.)</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(-257:121)</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Missing</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ANOVA Analysis Result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LS Mean Estimate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5.68</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9.29</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95% CI (L.:U.)</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(-13.1: 24.4)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[1]</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0.54</w:t>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Paired t-test</w:t>
            </w:r>
          </w:p>
        </w:tc>
        <w:tc>
          <w:tcPr>
            <w:tcW w:w="3742"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6594" w:type="dxa"/>
            <w:tcBorders>
              <w:left w:val="single" w:sz="6" w:space="0" w:color="000000"/>
              <w:bottom w:val="single" w:sz="2" w:space="0" w:color="000000"/>
            </w:tcBorders>
            <w:shd w:color="auto" w:fill="FFFFFF" w:val="clea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p-value [2]</w:t>
            </w:r>
          </w:p>
        </w:tc>
        <w:tc>
          <w:tcPr>
            <w:tcW w:w="2624" w:type="dxa"/>
            <w:tcBorders>
              <w:left w:val="single" w:sz="2" w:space="0" w:color="000000"/>
              <w:bottom w:val="single" w:sz="2" w:space="0" w:color="000000"/>
              <w:right w:val="single" w:sz="6" w:space="0" w:color="000000"/>
            </w:tcBorders>
            <w:shd w:color="auto" w:fill="FFFFFF" w:val="clea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0.4639</w:t>
            </w:r>
          </w:p>
        </w:tc>
      </w:tr>
      <w:tr>
        <w:trPr>
          <w:cantSplit w:val="true"/>
        </w:trPr>
        <w:tc>
          <w:tcPr>
            <w:tcW w:w="6594" w:type="dxa"/>
            <w:tcBorders>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42"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c>
          <w:tcPr>
            <w:tcW w:w="262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i/>
                <w:i/>
                <w:iCs/>
                <w:color w:val="000000"/>
              </w:rPr>
            </w:pPr>
            <w:r>
              <w:rPr>
                <w:rFonts w:cs="Times New Roman" w:ascii="Times New Roman" w:hAnsi="Times New Roman"/>
                <w:i/>
                <w:iCs/>
                <w:color w:val="000000"/>
              </w:rPr>
            </w:r>
          </w:p>
        </w:tc>
      </w:tr>
      <w:tr>
        <w:trPr>
          <w:cantSplit w:val="true"/>
        </w:trPr>
        <w:tc>
          <w:tcPr>
            <w:tcW w:w="12960" w:type="dxa"/>
            <w:gridSpan w:val="3"/>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r>
            <w:r>
              <w:rPr>
                <w:rFonts w:cs="Times New Roman" w:ascii="Times New Roman" w:hAnsi="Times New Roman"/>
                <w:b/>
                <w:bCs/>
                <w:color w:val="000000"/>
              </w:rPr>
              <w:t>Note:</w:t>
            </w:r>
            <w:r>
              <w:rPr>
                <w:rFonts w:cs="Times New Roman" w:ascii="Times New Roman" w:hAnsi="Times New Roman"/>
                <w:color w:val="000000"/>
              </w:rPr>
              <w:br/>
              <w:t>[1] LS Mean Estimate, SE and p-value for Mean change was compared for visit using Mixed Model for Repeated Measures (MMRM) ANOVA with visit as only factor.</w:t>
              <w:br/>
              <w:t>[2] P-value for comparing baseline assessment to consecutive visits i.e.9 month vs. baseline, 12 month vs. baseline, 24 month vs.</w:t>
              <w:br/>
              <w:t>    baseline) computed from paired t-test.</w:t>
              <w:br/>
              <w:br/>
            </w:r>
            <w:r>
              <w:rPr>
                <w:rFonts w:cs="Times New Roman" w:ascii="Times New Roman" w:hAnsi="Times New Roman"/>
                <w:b/>
                <w:bCs/>
                <w:color w:val="000000"/>
              </w:rPr>
              <w:t>General Note:</w:t>
            </w:r>
            <w:r>
              <w:rPr>
                <w:rFonts w:cs="Times New Roman" w:ascii="Times New Roman" w:hAnsi="Times New Roman"/>
                <w:color w:val="000000"/>
              </w:rPr>
              <w:br/>
              <w:t>&gt; As interaction has not been significant, Right sided and Left sided implant groups has been pooled for this analysis by</w:t>
              <w:br/>
              <w:t>   omitting all factors involving side of the implant from ANOVA.</w:t>
            </w:r>
          </w:p>
        </w:tc>
      </w:tr>
    </w:tbl>
    <w:p>
      <w:pPr>
        <w:pStyle w:val="Normal"/>
        <w:rPr/>
      </w:pPr>
      <w:r>
        <w:rPr/>
      </w:r>
    </w:p>
    <w:p>
      <w:pPr>
        <w:pStyle w:val="Normal"/>
        <w:spacing w:lineRule="auto" w:line="259" w:before="0" w:after="160"/>
        <w:rPr/>
      </w:pPr>
      <w:r>
        <w:rPr/>
      </w:r>
      <w:r>
        <w:br w:type="page"/>
      </w:r>
    </w:p>
    <w:p>
      <w:pPr>
        <w:pStyle w:val="Heading2"/>
        <w:rPr/>
      </w:pPr>
      <w:bookmarkStart w:id="40" w:name="_Toc1055370"/>
      <w:r>
        <w:rPr/>
        <w:t>Table 14.3.2.1</w:t>
        <w:tab/>
        <w:tab/>
        <w:t>Summary of Adverse Events– Overall Summary (N=49)</w:t>
      </w:r>
      <w:bookmarkEnd w:id="40"/>
    </w:p>
    <w:tbl>
      <w:tblPr>
        <w:tblW w:w="5000" w:type="pct"/>
        <w:jc w:val="center"/>
        <w:tblInd w:w="0" w:type="dxa"/>
        <w:tblCellMar>
          <w:top w:w="0" w:type="dxa"/>
          <w:left w:w="10" w:type="dxa"/>
          <w:bottom w:w="0" w:type="dxa"/>
          <w:right w:w="10" w:type="dxa"/>
        </w:tblCellMar>
        <w:tblLook w:val="0000" w:noHBand="0" w:noVBand="0" w:firstColumn="0" w:lastRow="0" w:lastColumn="0" w:firstRow="0"/>
      </w:tblPr>
      <w:tblGrid>
        <w:gridCol w:w="6592"/>
        <w:gridCol w:w="1857"/>
        <w:gridCol w:w="1859"/>
        <w:gridCol w:w="2651"/>
      </w:tblGrid>
      <w:tr>
        <w:trPr>
          <w:tblHeader w:val="true"/>
          <w:cantSplit w:val="true"/>
        </w:trPr>
        <w:tc>
          <w:tcPr>
            <w:tcW w:w="6592" w:type="dxa"/>
            <w:tcBorders>
              <w:top w:val="single" w:sz="2"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r>
          </w:p>
        </w:tc>
        <w:tc>
          <w:tcPr>
            <w:tcW w:w="3716" w:type="dxa"/>
            <w:gridSpan w:val="2"/>
            <w:tcBorders>
              <w:top w:val="single" w:sz="2"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2651" w:type="dxa"/>
            <w:tcBorders>
              <w:top w:val="single" w:sz="2"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6592" w:type="dxa"/>
            <w:tcBorders>
              <w:bottom w:val="single" w:sz="4"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r>
          </w:p>
        </w:tc>
        <w:tc>
          <w:tcPr>
            <w:tcW w:w="1857" w:type="dxa"/>
            <w:tcBorders>
              <w:bottom w:val="single" w:sz="4"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9" w:type="dxa"/>
            <w:tcBorders>
              <w:bottom w:val="single" w:sz="4"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651" w:type="dxa"/>
            <w:tcBorders>
              <w:bottom w:val="single" w:sz="4"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AEs Reported</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66</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30</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96</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Subjects Reporting 1 AE</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6(23.1%)</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7(30.4%)</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13(26.5%)</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Subjects Reporting &gt;1 AE</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14(53.8%)</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7(30.4%)</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21(42.9%)</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Subjects Reporting AEs Leading to Withdraw</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1(3.8%)</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0(0.0%)</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1(2.0%)</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Subjects Reporting Any AEs, n (%) [1]</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20(76.9%)</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14(60.9%)</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34(69.4%)</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Subjects Reporting Death</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5(19.2%)</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3(13.0%)</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8(16.3%)</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Subjects Reporting No AEs</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6(23.1%)</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9(39.1%)</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15(30.6%)</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bottom w:val="single" w:sz="4" w:space="0" w:color="000000"/>
            </w:tcBorders>
            <w:shd w:color="auto" w:fill="FFFFFF" w:val="clear"/>
          </w:tcPr>
          <w:p>
            <w:pPr>
              <w:pStyle w:val="Normal"/>
              <w:keepNext w:val="true"/>
              <w:spacing w:before="10" w:after="10"/>
              <w:rPr>
                <w:rFonts w:ascii="Times New Roman" w:hAnsi="Times New Roman" w:cs="Times New Roman"/>
                <w:color w:val="000000"/>
              </w:rPr>
            </w:pPr>
            <w:r>
              <w:rPr>
                <w:rFonts w:cs="Times New Roman" w:ascii="Times New Roman" w:hAnsi="Times New Roman"/>
                <w:color w:val="000000"/>
              </w:rPr>
              <w:t>Subjects Reporting Serious AEs</w:t>
            </w:r>
          </w:p>
        </w:tc>
        <w:tc>
          <w:tcPr>
            <w:tcW w:w="1857"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color w:val="000000"/>
              </w:rPr>
            </w:pPr>
            <w:r>
              <w:rPr>
                <w:rFonts w:cs="Times New Roman" w:ascii="Times New Roman" w:hAnsi="Times New Roman"/>
                <w:color w:val="000000"/>
              </w:rPr>
              <w:t>9(34.6%)</w:t>
            </w:r>
          </w:p>
        </w:tc>
        <w:tc>
          <w:tcPr>
            <w:tcW w:w="1859"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color w:val="000000"/>
              </w:rPr>
            </w:pPr>
            <w:r>
              <w:rPr>
                <w:rFonts w:cs="Times New Roman" w:ascii="Times New Roman" w:hAnsi="Times New Roman"/>
                <w:color w:val="000000"/>
              </w:rPr>
              <w:t>5(21.7%)</w:t>
            </w:r>
          </w:p>
        </w:tc>
        <w:tc>
          <w:tcPr>
            <w:tcW w:w="2651"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color w:val="000000"/>
              </w:rPr>
            </w:pPr>
            <w:r>
              <w:rPr>
                <w:rFonts w:cs="Times New Roman" w:ascii="Times New Roman" w:hAnsi="Times New Roman"/>
                <w:color w:val="000000"/>
              </w:rPr>
              <w:t>14(28.6%)</w:t>
            </w:r>
          </w:p>
        </w:tc>
      </w:tr>
      <w:tr>
        <w:trPr>
          <w:cantSplit w:val="true"/>
        </w:trPr>
        <w:tc>
          <w:tcPr>
            <w:tcW w:w="12959" w:type="dxa"/>
            <w:gridSpan w:val="4"/>
            <w:tcBorders/>
            <w:shd w:color="auto" w:fill="FFFFFF" w:val="clear"/>
          </w:tcPr>
          <w:p>
            <w:pPr>
              <w:pStyle w:val="Normal"/>
              <w:keepNext w:val="true"/>
              <w:spacing w:before="10" w:after="1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Zero frequencies are presented by “0(0.0) “.</w:t>
            </w:r>
          </w:p>
        </w:tc>
      </w:tr>
    </w:tbl>
    <w:p>
      <w:pPr>
        <w:pStyle w:val="Normal"/>
        <w:rPr/>
      </w:pPr>
      <w:r>
        <w:rPr/>
      </w:r>
    </w:p>
    <w:p>
      <w:pPr>
        <w:pStyle w:val="Normal"/>
        <w:spacing w:lineRule="auto" w:line="259" w:before="0" w:after="160"/>
        <w:rPr/>
      </w:pPr>
      <w:r>
        <w:rPr/>
      </w:r>
      <w:r>
        <w:br w:type="page"/>
      </w:r>
    </w:p>
    <w:p>
      <w:pPr>
        <w:pStyle w:val="Heading2"/>
        <w:rPr/>
      </w:pPr>
      <w:bookmarkStart w:id="41" w:name="_Toc1055371"/>
      <w:r>
        <w:rPr/>
        <w:t>Table 14.3.2.2</w:t>
        <w:tab/>
        <w:tab/>
        <w:t>Summary of Adverse Events by SOC and Preferred Term - Safety Population (N=49)</w:t>
      </w:r>
      <w:bookmarkEnd w:id="41"/>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6468"/>
        <w:gridCol w:w="2165"/>
        <w:gridCol w:w="2165"/>
        <w:gridCol w:w="2161"/>
      </w:tblGrid>
      <w:tr>
        <w:trPr>
          <w:tblHeader w:val="true"/>
          <w:cantSplit w:val="true"/>
        </w:trPr>
        <w:tc>
          <w:tcPr>
            <w:tcW w:w="6468" w:type="dxa"/>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4330"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2161"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6468"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2165"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165"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161"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Adverse Event, n (%) [1]</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(76.9%)</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(60.9%)</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34 (69.4%)</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Adverse Events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66</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Angina pectoris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 exertional</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Ear and labyrinth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Ear pain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Otorrhoea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Gastrointestinal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Abdominal pain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Dysphagia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Mouth haemorrhage</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Vomiting</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Implant site pain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Non-cardiac chest pain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Pyrexia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Swelling</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Infections and infestations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Bacterial infection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 infectious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Nasopharyngitis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Viral infection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Injury, poisoning and procedural complications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Fall</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Joint injury</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Investigations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Weight increased</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Metabolism and nutrition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Hypoglycaemia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Hypoproteinemia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Musculoskeletal and connective tissue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 (14.3%)</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Arthritis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Muscle spasms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Musculoskeletal pain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Neck pain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 in extremity</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Amnesia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Burning sensation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Dizziness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Facial paralysis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Headache</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Loss of consciousness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Tremor</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Psychiatric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Insomnia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Respiratory, thoracic and mediastinal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Cough</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Dysphonia</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Productive cough</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Throat tightness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Skin and subcutaneous tissue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Skin lesion</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216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2161"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68"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5"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2161"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59" w:type="dxa"/>
            <w:gridSpan w:val="4"/>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42" w:name="_Toc1055372"/>
      <w:r>
        <w:rPr/>
        <w:t>Table 14.3.2.3</w:t>
        <w:tab/>
        <w:tab/>
        <w:t>Summary of Adverse Events by Maximum Intensity - Safety Population (N=49)</w:t>
      </w:r>
      <w:bookmarkEnd w:id="42"/>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Intensity</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(76.9%)</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(60.9%)</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34 (69.4%)</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Angina pectoris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 exertional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Ear and labyrinth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Ear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Otorrhoea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Moderate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Gastrointestinal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Abdominal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Dysphagia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Mouth haemorrhage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Vomiting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Implant site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Non-cardiac chest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Pyrexia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Moderate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Swelling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Moderate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Infections and infestations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Bacterial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 infectious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Nasopharyngitis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Viral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Injury, poisoning and procedural complications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Fall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Joint injury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Investigations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Weight increased</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Metabolism and nutrition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Hypoglycaemia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Hypoproteinemia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Musculoskeletal and connective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 (14.3%)</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Arthritis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Moderate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Muscle spasms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Musculoskeletal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Neck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 in extremity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Moderate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Amnesia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Burning sensation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Dizziness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Facial paralysis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Headache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Loss of consciousness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Tremor</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Moderate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Psychiatric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Insomnia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Respiratory, thoracic and mediastinal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Moderate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Dysphonia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Productive 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Throat tightness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Skin and subcutaneous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Skin lesion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spacing w:lineRule="auto" w:line="259" w:before="0" w:after="160"/>
        <w:rPr/>
      </w:pPr>
      <w:r>
        <w:rPr/>
      </w:r>
      <w:r>
        <w:br w:type="page"/>
      </w:r>
    </w:p>
    <w:p>
      <w:pPr>
        <w:pStyle w:val="Heading2"/>
        <w:rPr/>
      </w:pPr>
      <w:bookmarkStart w:id="43" w:name="_Toc1055373"/>
      <w:r>
        <w:rPr/>
        <w:t>Table 14.3.2.4</w:t>
        <w:tab/>
        <w:tab/>
        <w:t>Summary of Adverse Events by Causality Relationship to Implant - Safety Population (N=49)</w:t>
      </w:r>
      <w:bookmarkEnd w:id="43"/>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Causality Relationship to Implant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(76.9%)</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(60.9%)</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34 (69.4%)</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Angina pectoris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 exertional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Ear and labyrinth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Ear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Otorrhoea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Gastrointestinal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Abdominal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Dysphagia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Mouth haemorrhage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Vomiting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Implant site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Non-cardiac chest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Pyrexia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Swelling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Infections and infestations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Bacterial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 infectious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Nasopharyngitis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Viral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Injury, poisoning and procedural complications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Fall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Joint injury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Investigations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Weight increased</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Metabolism and nutrition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Hypoglycaemia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Hypoproteinemia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Musculoskeletal and connective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 (14.3%)</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Arthritis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Muscle spasms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Musculoskeletal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Neck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 in extremity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Amnesia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Burning sensation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Dizziness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Facial paralysis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Headache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Loss of consciousness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Tremor</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Psychiatric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Insomnia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Respiratory, thoracic and mediastinal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Dysphonia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Productive 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Throat tightness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Skin and subcutaneous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Skin lesion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rPr/>
      </w:pPr>
      <w:r>
        <w:rPr/>
      </w:r>
    </w:p>
    <w:p>
      <w:pPr>
        <w:pStyle w:val="Normal"/>
        <w:spacing w:lineRule="auto" w:line="259" w:before="0" w:after="160"/>
        <w:rPr>
          <w:rFonts w:ascii="Courier New" w:hAnsi="Courier New" w:cs="Courier New"/>
          <w:b/>
          <w:b/>
          <w:bCs/>
          <w:color w:val="000000"/>
          <w:sz w:val="16"/>
          <w:szCs w:val="16"/>
        </w:rPr>
      </w:pPr>
      <w:r>
        <w:rPr>
          <w:rFonts w:cs="Courier New" w:ascii="Courier New" w:hAnsi="Courier New"/>
          <w:b/>
          <w:bCs/>
          <w:color w:val="000000"/>
          <w:sz w:val="16"/>
          <w:szCs w:val="16"/>
        </w:rPr>
      </w:r>
      <w:r>
        <w:br w:type="page"/>
      </w:r>
    </w:p>
    <w:p>
      <w:pPr>
        <w:pStyle w:val="Heading2"/>
        <w:rPr/>
      </w:pPr>
      <w:bookmarkStart w:id="44" w:name="_Toc1055374"/>
      <w:r>
        <w:rPr/>
        <w:t>Table 14.3.2.5</w:t>
        <w:tab/>
        <w:tab/>
        <w:t>Summary of Adverse Events by Causality Relationship to Stimulation - Safety Population (N=49)</w:t>
      </w:r>
      <w:bookmarkEnd w:id="44"/>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Causality Relationship to Stimulation</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(76.9%)</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(60.9%)</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34 (69.4%)</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Angina pectoris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 exertional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Ear and labyrinth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Ear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Otorrhoea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Gastrointestinal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Abdominal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Dysphagia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Mouth haemorrhage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Vomiting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Implant site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Non-cardiac chest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Pyrexia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Swelling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Infections and infestations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Bacterial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 infectious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Nasopharyngitis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Viral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Injury, poisoning and procedural complications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Fall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Joint injury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Investigations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Weight increased</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Metabolism and nutrition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Hypoglycaemia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Hypoproteinemia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Musculoskeletal and connective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 (14.3%)</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Arthritis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Muscle spasms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Musculoskeletal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Neck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 in extremity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Amnesia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Burning sensation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Dizziness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Facial paralysis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Headache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Loss of consciousness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Tremor</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Psychiatric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Insomnia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Respiratory, thoracic and mediastinal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Dysphonia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Productive 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Throat tightness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Skin and subcutaneous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Skin lesion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45" w:name="_Toc1055375"/>
      <w:r>
        <w:rPr/>
        <w:t>Table 14.3.2.6</w:t>
        <w:tab/>
        <w:tab/>
        <w:t>Summary of Adverse Events by Action Taken-Safety Population (N=49)</w:t>
      </w:r>
      <w:bookmarkEnd w:id="45"/>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Action taken</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(76.9%)</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(60.9%)</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34 (69.4%)</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Angina pectoris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Changed device parameters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Changed device parameters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 exertional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Changed device parameters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Ear and labyrinth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Ear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Otorrhoea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Gastrointestinal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Abdominal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Dysphagia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Mouth haemorrhage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Vomiting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Implant site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Non-cardiac chest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Pyrexia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Swelling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Infections and infestations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Bacterial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 infectious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Nasopharyngitis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Viral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Injury, poisoning and procedural complications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Fall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Joint injury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Investigations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Weight increased</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Metabolism and nutrition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Hypoglycaemia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Hypoproteinemia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Musculoskeletal and connective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 (14.3%)</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Arthritis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Muscle spasms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Musculoskeletal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Neck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Changed device parameters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 in extremity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Amnesia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Burning sensation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Dizziness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Facial paralysis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Headache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Loss of consciousness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Tremor</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Psychiatric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Insomnia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Respiratory, thoracic and mediastinal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Dysphonia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Productive 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Throat tightness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Skin and subcutaneous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Skin lesion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46" w:name="_Toc1055376"/>
      <w:r>
        <w:rPr/>
        <w:t>Table 14.3.2.7</w:t>
        <w:tab/>
        <w:tab/>
        <w:t>Summary of Adverse Events by Frequency - Safety Population (N=49)</w:t>
      </w:r>
      <w:bookmarkEnd w:id="46"/>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Frequency</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(76.9%)</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(60.9%)</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34 (69.4%)</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Angina pectoris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 exertional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Ear and labyrinth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Ear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Otorrhoea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Gastrointestinal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Abdominal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Dysphagia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Mouth haemorrhage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Vomiting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Implant site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Non-cardiac chest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Pyrexia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Swelling</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Infections and infestations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Bacterial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 infectious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Nasopharyngitis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Viral infection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Injury, poisoning and procedural complications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Fall</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Joint injury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Investigations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Weight increased</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Metabolism and nutrition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Hypoglycaemia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Hypoproteinemia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Musculoskeletal and connective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 (14.3%)</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Arthritis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Muscle spasms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Musculoskeletal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Neck pain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 in extremity</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Amnesia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Burning sensation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Dizziness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Facial paralysis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Headache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Loss of consciousness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Tremor</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Psychiatric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Insomnia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Respiratory, thoracic and mediastinal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Dysphonia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Productive cough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Throat tightness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Skin and subcutaneous tissue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Skin lesion</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spacing w:lineRule="auto" w:line="259" w:before="0" w:after="160"/>
        <w:rPr/>
      </w:pPr>
      <w:r>
        <w:rPr/>
      </w:r>
      <w:r>
        <w:br w:type="page"/>
      </w:r>
    </w:p>
    <w:p>
      <w:pPr>
        <w:pStyle w:val="Heading2"/>
        <w:rPr/>
      </w:pPr>
      <w:bookmarkStart w:id="47" w:name="_Toc1055377"/>
      <w:r>
        <w:rPr/>
        <w:t>Table 14.3.2.8</w:t>
        <w:tab/>
        <w:tab/>
        <w:t>Summary of Adverse Events by Outcome - Safety Population (N=49)</w:t>
      </w:r>
      <w:bookmarkEnd w:id="47"/>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069"/>
        <w:gridCol w:w="2627"/>
        <w:gridCol w:w="1756"/>
        <w:gridCol w:w="1755"/>
        <w:gridCol w:w="1753"/>
      </w:tblGrid>
      <w:tr>
        <w:trPr>
          <w:tblHeader w:val="true"/>
          <w:cantSplit w:val="true"/>
        </w:trPr>
        <w:tc>
          <w:tcPr>
            <w:tcW w:w="7696"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511"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753"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069"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Term(PT)</w:t>
            </w:r>
          </w:p>
        </w:tc>
        <w:tc>
          <w:tcPr>
            <w:tcW w:w="2627"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Outcome</w:t>
            </w:r>
          </w:p>
        </w:tc>
        <w:tc>
          <w:tcPr>
            <w:tcW w:w="17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755"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753"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Adverse Event, n (%) [1]</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(76.9%)</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(60.9%)</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34 (69.4%)</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Adverse Events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66</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30</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96</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Angina pectoris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Unknown</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Ongoing and Recovering</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 exertional</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Ear and labyrinth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Ear pain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Otorrhoea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Gastrointestinal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Abdominal pain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Dysphagia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Mouth haemorrhage</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Vomiting</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Implant site pain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Non-cardiac chest pain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Ongoing and Recovering</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Ongoing and Recovering</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Pyrexia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Swelling</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Infections and infestations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Bacterial infection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Diarrhoea infectious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Nasopharyngitis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Viral infection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Injury, poisoning and procedural complications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Fall</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Joint injury</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Investigations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Weight increased</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Ongoing and Recovering</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Metabolism and nutrition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Hypoglycaemia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Hypoproteinemia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Musculoskeletal and connective tissue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(13.0%)</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 (14.3%)</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Arthritis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Muscle spasms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Musculoskeletal pain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Neck pain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Pain in extremity</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(30.8%)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(17.4%)</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12 (24.5%)</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Amnesia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Ongoing and Recovering</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Burning sensation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Dizziness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Ongoing and Recovering</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Facial paralysis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Headache</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Loss of consciousness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Tremor</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Ongoing and Recovering</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Psychiatric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Insomnia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Respiratory, thoracic and mediastinal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Cough</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(10.2%)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Dysphonia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Ongoing and Not Recovering</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Productive cough</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Ongoing and Recovering</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Throat tightness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Skin and subcutaneous tissue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Skin lesion</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spacing w:lineRule="auto" w:line="259" w:before="0" w:after="160"/>
        <w:rPr/>
      </w:pPr>
      <w:r>
        <w:rPr/>
      </w:r>
      <w:r>
        <w:br w:type="page"/>
      </w:r>
    </w:p>
    <w:p>
      <w:pPr>
        <w:pStyle w:val="Heading2"/>
        <w:rPr/>
      </w:pPr>
      <w:bookmarkStart w:id="48" w:name="_Toc1055378"/>
      <w:r>
        <w:rPr/>
        <w:t>Table 14.3.3</w:t>
        <w:tab/>
        <w:tab/>
        <w:t>Summary of Serious Adverse Events – Overall Summary Safety Population (N=49)</w:t>
      </w:r>
      <w:bookmarkEnd w:id="48"/>
    </w:p>
    <w:tbl>
      <w:tblPr>
        <w:tblW w:w="5000" w:type="pct"/>
        <w:jc w:val="center"/>
        <w:tblInd w:w="0" w:type="dxa"/>
        <w:tblCellMar>
          <w:top w:w="0" w:type="dxa"/>
          <w:left w:w="10" w:type="dxa"/>
          <w:bottom w:w="0" w:type="dxa"/>
          <w:right w:w="10" w:type="dxa"/>
        </w:tblCellMar>
        <w:tblLook w:val="0000" w:noHBand="0" w:noVBand="0" w:firstColumn="0" w:lastRow="0" w:lastColumn="0" w:firstRow="0"/>
      </w:tblPr>
      <w:tblGrid>
        <w:gridCol w:w="6592"/>
        <w:gridCol w:w="1857"/>
        <w:gridCol w:w="1859"/>
        <w:gridCol w:w="2651"/>
      </w:tblGrid>
      <w:tr>
        <w:trPr>
          <w:tblHeader w:val="true"/>
          <w:cantSplit w:val="true"/>
        </w:trPr>
        <w:tc>
          <w:tcPr>
            <w:tcW w:w="6592" w:type="dxa"/>
            <w:tcBorders>
              <w:top w:val="single" w:sz="2"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r>
          </w:p>
        </w:tc>
        <w:tc>
          <w:tcPr>
            <w:tcW w:w="3716" w:type="dxa"/>
            <w:gridSpan w:val="2"/>
            <w:tcBorders>
              <w:top w:val="single" w:sz="2"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2651" w:type="dxa"/>
            <w:tcBorders>
              <w:top w:val="single" w:sz="2"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6592" w:type="dxa"/>
            <w:tcBorders>
              <w:bottom w:val="single" w:sz="4"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r>
          </w:p>
        </w:tc>
        <w:tc>
          <w:tcPr>
            <w:tcW w:w="1857" w:type="dxa"/>
            <w:tcBorders>
              <w:bottom w:val="single" w:sz="4"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9" w:type="dxa"/>
            <w:tcBorders>
              <w:bottom w:val="single" w:sz="4"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651" w:type="dxa"/>
            <w:tcBorders>
              <w:bottom w:val="single" w:sz="4" w:space="0" w:color="000000"/>
            </w:tcBorders>
            <w:shd w:color="auto" w:fill="FFFFFF" w:val="clear"/>
            <w:vAlign w:val="bottom"/>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SAEs Reported</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10</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7</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17</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Subjects Reporting Any SAEs, n (%) [1]</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9(34.6%)</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5(21.7%)</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14(28.6%)</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Subjects Reporting 1 SAE</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8(30.8%)</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3(13.0%)</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11(22.4%)</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Subjects Reporting &gt;1 SAE</w:t>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1(3.8%)</w:t>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2(8.7%)</w:t>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3(6.1%)</w:t>
            </w:r>
          </w:p>
        </w:tc>
      </w:tr>
      <w:tr>
        <w:trPr>
          <w:cantSplit w:val="true"/>
        </w:trPr>
        <w:tc>
          <w:tcPr>
            <w:tcW w:w="6592"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1859"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651"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592" w:type="dxa"/>
            <w:tcBorders>
              <w:bottom w:val="single" w:sz="4" w:space="0" w:color="000000"/>
            </w:tcBorders>
            <w:shd w:color="auto" w:fill="FFFFFF" w:val="clear"/>
          </w:tcPr>
          <w:p>
            <w:pPr>
              <w:pStyle w:val="Normal"/>
              <w:keepNext w:val="true"/>
              <w:spacing w:before="10" w:after="10"/>
              <w:rPr>
                <w:rFonts w:ascii="Times New Roman" w:hAnsi="Times New Roman" w:cs="Times New Roman"/>
                <w:color w:val="000000"/>
              </w:rPr>
            </w:pPr>
            <w:r>
              <w:rPr>
                <w:rFonts w:cs="Times New Roman" w:ascii="Times New Roman" w:hAnsi="Times New Roman"/>
                <w:color w:val="000000"/>
              </w:rPr>
              <w:t>Subjects Reporting SAEs Leading to Withdraw</w:t>
            </w:r>
          </w:p>
        </w:tc>
        <w:tc>
          <w:tcPr>
            <w:tcW w:w="1857"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color w:val="000000"/>
              </w:rPr>
            </w:pPr>
            <w:r>
              <w:rPr>
                <w:rFonts w:cs="Times New Roman" w:ascii="Times New Roman" w:hAnsi="Times New Roman"/>
                <w:color w:val="000000"/>
              </w:rPr>
              <w:t>1(3.8%)</w:t>
            </w:r>
          </w:p>
        </w:tc>
        <w:tc>
          <w:tcPr>
            <w:tcW w:w="1859"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color w:val="000000"/>
              </w:rPr>
            </w:pPr>
            <w:r>
              <w:rPr>
                <w:rFonts w:cs="Times New Roman" w:ascii="Times New Roman" w:hAnsi="Times New Roman"/>
                <w:color w:val="000000"/>
              </w:rPr>
              <w:t>0(0.0%)</w:t>
            </w:r>
          </w:p>
        </w:tc>
        <w:tc>
          <w:tcPr>
            <w:tcW w:w="2651"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color w:val="000000"/>
              </w:rPr>
            </w:pPr>
            <w:r>
              <w:rPr>
                <w:rFonts w:cs="Times New Roman" w:ascii="Times New Roman" w:hAnsi="Times New Roman"/>
                <w:color w:val="000000"/>
              </w:rPr>
              <w:t>1(2.0%)</w:t>
            </w:r>
          </w:p>
        </w:tc>
      </w:tr>
      <w:tr>
        <w:trPr>
          <w:cantSplit w:val="true"/>
        </w:trPr>
        <w:tc>
          <w:tcPr>
            <w:tcW w:w="12959" w:type="dxa"/>
            <w:gridSpan w:val="4"/>
            <w:tcBorders/>
            <w:shd w:color="auto" w:fill="FFFFFF" w:val="clear"/>
          </w:tcPr>
          <w:p>
            <w:pPr>
              <w:pStyle w:val="Normal"/>
              <w:keepNext w:val="true"/>
              <w:spacing w:before="10" w:after="1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Zero frequencies are presented by “0(0.0) “.</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49" w:name="_Toc1055379"/>
      <w:r>
        <w:rPr/>
        <w:t>Table 14.3.3.1</w:t>
        <w:tab/>
        <w:tab/>
        <w:t>Summary of Serious Adverse Events - Safety Population (N=49)</w:t>
      </w:r>
      <w:bookmarkEnd w:id="49"/>
    </w:p>
    <w:tbl>
      <w:tblPr>
        <w:tblW w:w="5000" w:type="pct"/>
        <w:jc w:val="center"/>
        <w:tblInd w:w="0" w:type="dxa"/>
        <w:tblCellMar>
          <w:top w:w="0" w:type="dxa"/>
          <w:left w:w="10" w:type="dxa"/>
          <w:bottom w:w="0" w:type="dxa"/>
          <w:right w:w="10" w:type="dxa"/>
        </w:tblCellMar>
        <w:tblLook w:val="0000" w:noHBand="0" w:noVBand="0" w:firstColumn="0" w:lastRow="0" w:lastColumn="0" w:firstRow="0"/>
      </w:tblPr>
      <w:tblGrid>
        <w:gridCol w:w="6459"/>
        <w:gridCol w:w="2167"/>
        <w:gridCol w:w="2166"/>
        <w:gridCol w:w="2167"/>
      </w:tblGrid>
      <w:tr>
        <w:trPr>
          <w:tblHeader w:val="true"/>
          <w:cantSplit w:val="true"/>
        </w:trPr>
        <w:tc>
          <w:tcPr>
            <w:tcW w:w="6459" w:type="dxa"/>
            <w:tcBorders>
              <w:top w:val="single" w:sz="2" w:space="0" w:color="000000"/>
            </w:tcBorders>
            <w:shd w:color="auto" w:fill="FFFFFF" w:val="clear"/>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r>
          </w:p>
        </w:tc>
        <w:tc>
          <w:tcPr>
            <w:tcW w:w="4333" w:type="dxa"/>
            <w:gridSpan w:val="2"/>
            <w:tcBorders>
              <w:top w:val="single" w:sz="2" w:space="0" w:color="000000"/>
            </w:tcBorders>
            <w:shd w:color="auto" w:fill="FFFFFF" w:val="clear"/>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2167" w:type="dxa"/>
            <w:tcBorders>
              <w:top w:val="single" w:sz="2" w:space="0" w:color="000000"/>
            </w:tcBorders>
            <w:shd w:color="auto" w:fill="FFFFFF" w:val="clear"/>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6459" w:type="dxa"/>
            <w:tcBorders>
              <w:bottom w:val="single" w:sz="4" w:space="0" w:color="000000"/>
            </w:tcBorders>
            <w:shd w:color="auto" w:fill="FFFFFF" w:val="clear"/>
          </w:tcPr>
          <w:p>
            <w:pPr>
              <w:pStyle w:val="Normal"/>
              <w:keepNext w:val="true"/>
              <w:spacing w:before="10" w:after="1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2167"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166"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167"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Total Number of Subjects with at least One Serious Adverse Event, n (%) [1]</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9 (34.6%)</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5 (21.7%)</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Total Number of Serious Adverse Events</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10</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7</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17</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Blood and lymphatic system disorders</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Cardiac disorders</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4 (15.4%)</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2 (8.7%)</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(3.8%)</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(3.8%)</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2 (7.7%)</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(3.8%)</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Eye disorders</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(3.8%)</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(3.8%)</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3 (11.5%)</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(3.8%)</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2 (7.7%)</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Nervous system disorders</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(3.8%)</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2 (8.7%)</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(3.8%)</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Vascular disorders</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shd w:color="auto" w:fill="FFFFFF" w:val="clear"/>
          </w:tcPr>
          <w:p>
            <w:pPr>
              <w:pStyle w:val="Normal"/>
              <w:spacing w:before="10" w:after="1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0 (0.0 %)</w:t>
            </w:r>
          </w:p>
        </w:tc>
        <w:tc>
          <w:tcPr>
            <w:tcW w:w="2166"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(4.3%)</w:t>
            </w:r>
          </w:p>
        </w:tc>
        <w:tc>
          <w:tcPr>
            <w:tcW w:w="2167" w:type="dxa"/>
            <w:tcBorders/>
            <w:shd w:color="auto" w:fill="FFFFFF" w:val="clear"/>
          </w:tcPr>
          <w:p>
            <w:pPr>
              <w:pStyle w:val="Normal"/>
              <w:spacing w:before="10" w:after="1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6459" w:type="dxa"/>
            <w:tcBorders>
              <w:bottom w:val="single" w:sz="4" w:space="0" w:color="000000"/>
            </w:tcBorders>
            <w:shd w:color="auto" w:fill="FFFFFF" w:val="clear"/>
          </w:tcPr>
          <w:p>
            <w:pPr>
              <w:pStyle w:val="Normal"/>
              <w:keepNext w:val="true"/>
              <w:spacing w:before="10" w:after="10"/>
              <w:rPr>
                <w:rFonts w:ascii="Times New Roman" w:hAnsi="Times New Roman" w:cs="Times New Roman"/>
                <w:color w:val="000000"/>
              </w:rPr>
            </w:pPr>
            <w:r>
              <w:rPr>
                <w:rFonts w:cs="Times New Roman" w:ascii="Times New Roman" w:hAnsi="Times New Roman"/>
                <w:color w:val="000000"/>
              </w:rPr>
            </w:r>
          </w:p>
        </w:tc>
        <w:tc>
          <w:tcPr>
            <w:tcW w:w="2167"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6"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color w:val="000000"/>
              </w:rPr>
            </w:pPr>
            <w:r>
              <w:rPr>
                <w:rFonts w:cs="Times New Roman" w:ascii="Times New Roman" w:hAnsi="Times New Roman"/>
                <w:color w:val="000000"/>
              </w:rPr>
            </w:r>
          </w:p>
        </w:tc>
        <w:tc>
          <w:tcPr>
            <w:tcW w:w="2167" w:type="dxa"/>
            <w:tcBorders>
              <w:bottom w:val="single" w:sz="4" w:space="0" w:color="000000"/>
            </w:tcBorders>
            <w:shd w:color="auto" w:fill="FFFFFF" w:val="clear"/>
          </w:tcPr>
          <w:p>
            <w:pPr>
              <w:pStyle w:val="Normal"/>
              <w:keepNext w:val="true"/>
              <w:spacing w:before="10" w:after="1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59" w:type="dxa"/>
            <w:gridSpan w:val="4"/>
            <w:tcBorders>
              <w:bottom w:val="single" w:sz="2" w:space="0" w:color="000000"/>
            </w:tcBorders>
            <w:shd w:color="auto" w:fill="FFFFFF" w:val="clear"/>
          </w:tcPr>
          <w:p>
            <w:pPr>
              <w:pStyle w:val="Normal"/>
              <w:keepNext w:val="true"/>
              <w:spacing w:before="10" w:after="1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spacing w:lineRule="auto" w:line="259" w:before="0" w:after="160"/>
        <w:rPr/>
      </w:pPr>
      <w:r>
        <w:rPr/>
      </w:r>
      <w:r>
        <w:br w:type="page"/>
      </w:r>
    </w:p>
    <w:p>
      <w:pPr>
        <w:pStyle w:val="Heading2"/>
        <w:rPr/>
      </w:pPr>
      <w:bookmarkStart w:id="50" w:name="_Toc1055380"/>
      <w:r>
        <w:rPr/>
        <w:t>Table 14.3.3.2</w:t>
        <w:tab/>
        <w:tab/>
        <w:t>Summary of Serious Adverse Events by Maximum Intensity - Safety Population (N=49)</w:t>
      </w:r>
      <w:bookmarkEnd w:id="50"/>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Intensity</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Serious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Serious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17</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Mild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Moderate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Severe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spacing w:lineRule="auto" w:line="259" w:before="0" w:after="160"/>
        <w:rPr/>
      </w:pPr>
      <w:r>
        <w:rPr/>
      </w:r>
      <w:r>
        <w:br w:type="page"/>
      </w:r>
    </w:p>
    <w:p>
      <w:pPr>
        <w:pStyle w:val="Heading2"/>
        <w:rPr/>
      </w:pPr>
      <w:bookmarkStart w:id="51" w:name="_Toc1055381"/>
      <w:r>
        <w:rPr/>
        <w:t>Table 14.3.3.3</w:t>
        <w:tab/>
        <w:tab/>
        <w:t>Summary of Serious Adverse Events by Causality Relationship to Implant - Safety Population (N=49)</w:t>
      </w:r>
      <w:bookmarkEnd w:id="51"/>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Causality Relationship to Implant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Serious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Serious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17</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52" w:name="_Toc1055382"/>
      <w:r>
        <w:rPr/>
        <w:t>Table 14.3.3.4</w:t>
        <w:tab/>
        <w:tab/>
        <w:t>Summary of Serious Adverse Events by Causality Relationship to Stimulation - Safety Population (N=49)</w:t>
      </w:r>
      <w:bookmarkEnd w:id="52"/>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Causality Relationship to Stimulation</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Serious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Serious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17</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Not Related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53" w:name="_Toc1055383"/>
      <w:r>
        <w:rPr/>
        <w:t>Table 14.3.3.5</w:t>
        <w:tab/>
        <w:tab/>
        <w:t>Summary of Serious Adverse Events by Action taken -Safety Population (N=49)</w:t>
      </w:r>
      <w:bookmarkEnd w:id="53"/>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Action taken</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Serious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Serious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17</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Changed device parameters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Changed device parameters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Changed device parameters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None Required</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r>
        <w:rPr/>
        <w:t xml:space="preserve"> </w:t>
      </w:r>
      <w:bookmarkStart w:id="54" w:name="_Toc1055384"/>
      <w:r>
        <w:rPr/>
        <w:t>Table 14.3.3.6</w:t>
        <w:tab/>
        <w:tab/>
        <w:t>Summary of Serious Adverse Events by Frequency - Safety Population (N=49)</w:t>
      </w:r>
      <w:bookmarkEnd w:id="54"/>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544"/>
        <w:gridCol w:w="1853"/>
        <w:gridCol w:w="1853"/>
        <w:gridCol w:w="1856"/>
        <w:gridCol w:w="1854"/>
      </w:tblGrid>
      <w:tr>
        <w:trPr>
          <w:tblHeader w:val="true"/>
          <w:cantSplit w:val="true"/>
        </w:trPr>
        <w:tc>
          <w:tcPr>
            <w:tcW w:w="7397"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709"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854"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Frequency</w:t>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Serious Adverse Event, n (%) [1]</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Serious Adverse Events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17</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Intermittent</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Single Episode</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Continuous</w:t>
            </w:r>
          </w:p>
        </w:tc>
        <w:tc>
          <w:tcPr>
            <w:tcW w:w="1853"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8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854"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544"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853"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854"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rPr/>
      </w:pPr>
      <w:r>
        <w:rPr/>
      </w:r>
    </w:p>
    <w:p>
      <w:pPr>
        <w:pStyle w:val="Normal"/>
        <w:spacing w:lineRule="auto" w:line="259" w:before="0" w:after="160"/>
        <w:rPr/>
      </w:pPr>
      <w:r>
        <w:rPr/>
      </w:r>
      <w:r>
        <w:br w:type="page"/>
      </w:r>
    </w:p>
    <w:p>
      <w:pPr>
        <w:pStyle w:val="Heading2"/>
        <w:rPr/>
      </w:pPr>
      <w:bookmarkStart w:id="55" w:name="_Toc1055385"/>
      <w:r>
        <w:rPr/>
        <w:t>Table 14.3.3.7</w:t>
        <w:tab/>
        <w:tab/>
        <w:t>Summary of Serious Adverse Events by Outcome - Safety Population (N=49)</w:t>
      </w:r>
      <w:bookmarkEnd w:id="55"/>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5069"/>
        <w:gridCol w:w="2627"/>
        <w:gridCol w:w="1756"/>
        <w:gridCol w:w="1755"/>
        <w:gridCol w:w="1753"/>
      </w:tblGrid>
      <w:tr>
        <w:trPr>
          <w:tblHeader w:val="true"/>
          <w:cantSplit w:val="true"/>
        </w:trPr>
        <w:tc>
          <w:tcPr>
            <w:tcW w:w="7696" w:type="dxa"/>
            <w:gridSpan w:val="2"/>
            <w:tcBorders>
              <w:top w:val="single" w:sz="6" w:space="0" w:color="000000"/>
              <w:left w:val="single" w:sz="6"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511" w:type="dxa"/>
            <w:gridSpan w:val="2"/>
            <w:tcBorders>
              <w:top w:val="single" w:sz="6" w:space="0" w:color="000000"/>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c>
          <w:tcPr>
            <w:tcW w:w="1753" w:type="dxa"/>
            <w:tcBorders>
              <w:top w:val="single" w:sz="6" w:space="0" w:color="000000"/>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r>
      <w:tr>
        <w:trPr>
          <w:tblHeader w:val="true"/>
          <w:cantSplit w:val="true"/>
        </w:trPr>
        <w:tc>
          <w:tcPr>
            <w:tcW w:w="5069"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System Organ Class (SOC) / Preferred Term (PT)</w:t>
            </w:r>
          </w:p>
        </w:tc>
        <w:tc>
          <w:tcPr>
            <w:tcW w:w="2627"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Outcome</w:t>
            </w:r>
          </w:p>
        </w:tc>
        <w:tc>
          <w:tcPr>
            <w:tcW w:w="17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1755"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1753"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Subjects with at least One Serious Adverse Event, n (%) [1]</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9 (34.6%)</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(28.6%)</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Total Number of Serious Adverse Events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10</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17</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Blood and lymphatic system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Anaemia megaloblastic, Malaria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Cardiac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(15.4%)</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(12.2%)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Arrhythmia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Cardiac failure congestive</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Dyspnoea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(4.1%)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Ventricular tachycardia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Eye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Cataract</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without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General disorders and administration site conditions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(11.5%)</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(8.2%)</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cardiac death</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Sudden death</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(7.7%)</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Nervous system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 (8.7%)</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 (6.1%)</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Cerebrovascular accident, Aphasia, Hemiplegia</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(3.8%)</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Haemorrhagic transformation stroke, Cerebrovascular accident, Hemiparesis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Fatal</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Ischaemic stroke, Cerebrovascular accident</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Vascular disorders</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Peripheral embolism,Cardiac failure congestive</w:t>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Recovered with sequelae</w:t>
            </w:r>
          </w:p>
        </w:tc>
        <w:tc>
          <w:tcPr>
            <w:tcW w:w="175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0 (0.0 %)</w:t>
            </w:r>
          </w:p>
        </w:tc>
        <w:tc>
          <w:tcPr>
            <w:tcW w:w="175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(4.3%)</w:t>
            </w:r>
          </w:p>
        </w:tc>
        <w:tc>
          <w:tcPr>
            <w:tcW w:w="1753"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 (2.0%)</w:t>
            </w:r>
          </w:p>
        </w:tc>
      </w:tr>
      <w:tr>
        <w:trPr>
          <w:cantSplit w:val="true"/>
        </w:trPr>
        <w:tc>
          <w:tcPr>
            <w:tcW w:w="5069"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2627" w:type="dxa"/>
            <w:tcBorders>
              <w:left w:val="single" w:sz="2"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r>
          </w:p>
        </w:tc>
        <w:tc>
          <w:tcPr>
            <w:tcW w:w="175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5"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c>
          <w:tcPr>
            <w:tcW w:w="1753"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 </w:t>
            </w:r>
            <w:r>
              <w:rPr>
                <w:rFonts w:cs="Times New Roman" w:ascii="Times New Roman" w:hAnsi="Times New Roman"/>
                <w:color w:val="000000"/>
              </w:rPr>
              <w:br/>
              <w:t>[1] Respective column header group counts were used as denominator for percentage calculation.</w:t>
              <w:br/>
            </w:r>
            <w:r>
              <w:rPr>
                <w:rFonts w:cs="Times New Roman" w:ascii="Times New Roman" w:hAnsi="Times New Roman"/>
                <w:b/>
                <w:bCs/>
                <w:color w:val="000000"/>
              </w:rPr>
              <w:t>General Note: </w:t>
            </w:r>
            <w:r>
              <w:rPr>
                <w:rFonts w:cs="Times New Roman" w:ascii="Times New Roman" w:hAnsi="Times New Roman"/>
                <w:color w:val="000000"/>
              </w:rPr>
              <w:br/>
              <w:t>&gt; Adverse events were coded using MedDRA version 21.1. Patients were reported more than one event per system organ class or preferred term. Patients were counted once for each system organ class or preferred term.</w:t>
              <w:br/>
              <w:t>&gt; An AE is defined as any event that existed before study drug administration and increased in severity, or any event that only occurred after study drug administration.</w:t>
              <w:br/>
              <w:t>&gt; Zero frequencies are presented by “0(0.0) “.</w:t>
            </w:r>
          </w:p>
        </w:tc>
      </w:tr>
    </w:tbl>
    <w:p>
      <w:pPr>
        <w:pStyle w:val="Normal"/>
        <w:rPr/>
      </w:pPr>
      <w:r>
        <w:rPr/>
      </w:r>
    </w:p>
    <w:p>
      <w:pPr>
        <w:pStyle w:val="Normal"/>
        <w:spacing w:lineRule="auto" w:line="259" w:before="0" w:after="160"/>
        <w:rPr/>
      </w:pPr>
      <w:r>
        <w:rPr/>
      </w:r>
      <w:r>
        <w:br w:type="page"/>
      </w:r>
    </w:p>
    <w:p>
      <w:pPr>
        <w:pStyle w:val="Heading2"/>
        <w:rPr/>
      </w:pPr>
      <w:bookmarkStart w:id="56" w:name="_Toc1055386"/>
      <w:r>
        <w:rPr/>
        <w:t>Table 14.3.7.1</w:t>
        <w:tab/>
        <w:tab/>
        <w:t>Summary of Concomitant Medication (24 Months Visit) (N=46)</w:t>
      </w:r>
      <w:bookmarkEnd w:id="56"/>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3146"/>
        <w:gridCol w:w="1634"/>
        <w:gridCol w:w="1636"/>
        <w:gridCol w:w="1635"/>
        <w:gridCol w:w="1636"/>
        <w:gridCol w:w="1637"/>
        <w:gridCol w:w="1635"/>
      </w:tblGrid>
      <w:tr>
        <w:trPr>
          <w:tblHeader w:val="true"/>
          <w:cantSplit w:val="true"/>
        </w:trPr>
        <w:tc>
          <w:tcPr>
            <w:tcW w:w="3146" w:type="dxa"/>
            <w:tcBorders>
              <w:top w:val="single" w:sz="6" w:space="0" w:color="000000"/>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9813" w:type="dxa"/>
            <w:gridSpan w:val="6"/>
            <w:tcBorders>
              <w:top w:val="single" w:sz="6" w:space="0" w:color="000000"/>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3146" w:type="dxa"/>
            <w:tcBorders>
              <w:left w:val="single" w:sz="6"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3270" w:type="dxa"/>
            <w:gridSpan w:val="2"/>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r>
          </w:p>
        </w:tc>
        <w:tc>
          <w:tcPr>
            <w:tcW w:w="3271" w:type="dxa"/>
            <w:gridSpan w:val="2"/>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r>
          </w:p>
        </w:tc>
        <w:tc>
          <w:tcPr>
            <w:tcW w:w="3272" w:type="dxa"/>
            <w:gridSpan w:val="2"/>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r>
          </w:p>
        </w:tc>
      </w:tr>
      <w:tr>
        <w:trPr>
          <w:tblHeader w:val="true"/>
          <w:cantSplit w:val="true"/>
        </w:trPr>
        <w:tc>
          <w:tcPr>
            <w:tcW w:w="3146" w:type="dxa"/>
            <w:tcBorders>
              <w:left w:val="single" w:sz="6" w:space="0" w:color="000000"/>
              <w:bottom w:val="single" w:sz="2" w:space="0" w:color="000000"/>
            </w:tcBorders>
            <w:shd w:color="auto" w:fill="FFFFFF" w:val="clear"/>
            <w:vAlign w:val="bottom"/>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Category</w:t>
            </w:r>
          </w:p>
        </w:tc>
        <w:tc>
          <w:tcPr>
            <w:tcW w:w="1634"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12 Months</w:t>
              <w:br/>
              <w:t>N= (25)</w:t>
            </w:r>
          </w:p>
        </w:tc>
        <w:tc>
          <w:tcPr>
            <w:tcW w:w="1636"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24 Months</w:t>
              <w:br/>
              <w:t>N= (21)</w:t>
            </w:r>
          </w:p>
        </w:tc>
        <w:tc>
          <w:tcPr>
            <w:tcW w:w="1635"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12 Months</w:t>
              <w:br/>
              <w:t>N= (21)</w:t>
            </w:r>
          </w:p>
        </w:tc>
        <w:tc>
          <w:tcPr>
            <w:tcW w:w="1636"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24 Months</w:t>
              <w:br/>
              <w:t>N= (19)</w:t>
            </w:r>
          </w:p>
        </w:tc>
        <w:tc>
          <w:tcPr>
            <w:tcW w:w="1637" w:type="dxa"/>
            <w:tcBorders>
              <w:left w:val="single" w:sz="2" w:space="0" w:color="000000"/>
              <w:bottom w:val="single" w:sz="2"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12 Months</w:t>
              <w:br/>
              <w:t>N= (46)</w:t>
            </w:r>
          </w:p>
        </w:tc>
        <w:tc>
          <w:tcPr>
            <w:tcW w:w="1635" w:type="dxa"/>
            <w:tcBorders>
              <w:left w:val="single" w:sz="2" w:space="0" w:color="000000"/>
              <w:bottom w:val="single" w:sz="2" w:space="0" w:color="000000"/>
              <w:right w:val="single" w:sz="6" w:space="0" w:color="000000"/>
            </w:tcBorders>
            <w:shd w:color="auto" w:fill="FFFFFF" w:val="clear"/>
            <w:vAlign w:val="bottom"/>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24 Months</w:t>
              <w:br/>
              <w:t>N= (40)</w:t>
            </w:r>
          </w:p>
        </w:tc>
      </w:tr>
      <w:tr>
        <w:trPr>
          <w:cantSplit w:val="true"/>
        </w:trPr>
        <w:tc>
          <w:tcPr>
            <w:tcW w:w="3146"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ACE/ARB</w:t>
            </w:r>
          </w:p>
        </w:tc>
        <w:tc>
          <w:tcPr>
            <w:tcW w:w="163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21 (80.8%)</w:t>
            </w:r>
          </w:p>
        </w:tc>
        <w:tc>
          <w:tcPr>
            <w:tcW w:w="163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17 (81.0%)</w:t>
            </w:r>
          </w:p>
        </w:tc>
        <w:tc>
          <w:tcPr>
            <w:tcW w:w="163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22 (95.7%)</w:t>
            </w:r>
          </w:p>
        </w:tc>
        <w:tc>
          <w:tcPr>
            <w:tcW w:w="163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19 (100.0%)</w:t>
            </w:r>
          </w:p>
        </w:tc>
        <w:tc>
          <w:tcPr>
            <w:tcW w:w="163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43 (87.8%)</w:t>
            </w:r>
          </w:p>
        </w:tc>
        <w:tc>
          <w:tcPr>
            <w:tcW w:w="163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36 (90.0%)</w:t>
            </w:r>
          </w:p>
        </w:tc>
      </w:tr>
      <w:tr>
        <w:trPr>
          <w:cantSplit w:val="true"/>
        </w:trPr>
        <w:tc>
          <w:tcPr>
            <w:tcW w:w="3146"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 xml:space="preserve">Aldosterone </w:t>
            </w:r>
          </w:p>
        </w:tc>
        <w:tc>
          <w:tcPr>
            <w:tcW w:w="163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(76.9%)</w:t>
            </w:r>
          </w:p>
        </w:tc>
        <w:tc>
          <w:tcPr>
            <w:tcW w:w="163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(38.1%)</w:t>
            </w:r>
          </w:p>
        </w:tc>
        <w:tc>
          <w:tcPr>
            <w:tcW w:w="163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19 (82.6%)</w:t>
            </w:r>
          </w:p>
        </w:tc>
        <w:tc>
          <w:tcPr>
            <w:tcW w:w="163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(31.6%)</w:t>
            </w:r>
          </w:p>
        </w:tc>
        <w:tc>
          <w:tcPr>
            <w:tcW w:w="163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39 (79.6%)</w:t>
            </w:r>
          </w:p>
        </w:tc>
        <w:tc>
          <w:tcPr>
            <w:tcW w:w="163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14 (35.0%)</w:t>
            </w:r>
          </w:p>
        </w:tc>
      </w:tr>
      <w:tr>
        <w:trPr>
          <w:cantSplit w:val="true"/>
        </w:trPr>
        <w:tc>
          <w:tcPr>
            <w:tcW w:w="3146"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Beta blocking agents</w:t>
            </w:r>
          </w:p>
        </w:tc>
        <w:tc>
          <w:tcPr>
            <w:tcW w:w="163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22 (84.6%)</w:t>
            </w:r>
          </w:p>
        </w:tc>
        <w:tc>
          <w:tcPr>
            <w:tcW w:w="163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17 (81.0%)</w:t>
            </w:r>
          </w:p>
        </w:tc>
        <w:tc>
          <w:tcPr>
            <w:tcW w:w="163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19 (82.6%)</w:t>
            </w:r>
          </w:p>
        </w:tc>
        <w:tc>
          <w:tcPr>
            <w:tcW w:w="163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15 (78.9%)</w:t>
            </w:r>
          </w:p>
        </w:tc>
        <w:tc>
          <w:tcPr>
            <w:tcW w:w="163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41 (83.7%)</w:t>
            </w:r>
          </w:p>
        </w:tc>
        <w:tc>
          <w:tcPr>
            <w:tcW w:w="163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32 (80.0%)</w:t>
            </w:r>
          </w:p>
        </w:tc>
      </w:tr>
      <w:tr>
        <w:trPr>
          <w:cantSplit w:val="true"/>
        </w:trPr>
        <w:tc>
          <w:tcPr>
            <w:tcW w:w="3146" w:type="dxa"/>
            <w:tcBorders>
              <w:left w:val="single" w:sz="6" w:space="0" w:color="000000"/>
              <w:bottom w:val="single" w:sz="2" w:space="0" w:color="000000"/>
            </w:tcBorders>
            <w:shd w:color="auto" w:fill="FFFFFF" w:val="clear"/>
          </w:tcPr>
          <w:p>
            <w:pPr>
              <w:pStyle w:val="Normal"/>
              <w:spacing w:before="80" w:after="80"/>
              <w:rPr>
                <w:rFonts w:ascii="Times New Roman" w:hAnsi="Times New Roman" w:cs="Times New Roman"/>
                <w:color w:val="000000"/>
              </w:rPr>
            </w:pPr>
            <w:r>
              <w:rPr>
                <w:rFonts w:cs="Times New Roman" w:ascii="Times New Roman" w:hAnsi="Times New Roman"/>
                <w:color w:val="000000"/>
              </w:rPr>
              <w:t>Digoxin</w:t>
            </w:r>
          </w:p>
        </w:tc>
        <w:tc>
          <w:tcPr>
            <w:tcW w:w="163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6 (23.1%)</w:t>
            </w:r>
          </w:p>
        </w:tc>
        <w:tc>
          <w:tcPr>
            <w:tcW w:w="163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(19.0%)</w:t>
            </w:r>
          </w:p>
        </w:tc>
        <w:tc>
          <w:tcPr>
            <w:tcW w:w="163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5 (21.7%)</w:t>
            </w:r>
          </w:p>
        </w:tc>
        <w:tc>
          <w:tcPr>
            <w:tcW w:w="1636"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 (21.1%)</w:t>
            </w:r>
          </w:p>
        </w:tc>
        <w:tc>
          <w:tcPr>
            <w:tcW w:w="163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11 (22.4%)</w:t>
            </w:r>
          </w:p>
        </w:tc>
        <w:tc>
          <w:tcPr>
            <w:tcW w:w="1635" w:type="dxa"/>
            <w:tcBorders>
              <w:left w:val="single" w:sz="2" w:space="0" w:color="000000"/>
              <w:bottom w:val="single" w:sz="2" w:space="0" w:color="000000"/>
              <w:right w:val="single" w:sz="6"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8 (20.0%)</w:t>
            </w:r>
          </w:p>
        </w:tc>
      </w:tr>
      <w:tr>
        <w:trPr>
          <w:cantSplit w:val="true"/>
        </w:trPr>
        <w:tc>
          <w:tcPr>
            <w:tcW w:w="3146" w:type="dxa"/>
            <w:tcBorders>
              <w:left w:val="single" w:sz="6" w:space="0" w:color="000000"/>
              <w:bottom w:val="single" w:sz="2"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Diuretics</w:t>
            </w:r>
          </w:p>
        </w:tc>
        <w:tc>
          <w:tcPr>
            <w:tcW w:w="1634"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(76.9%)</w:t>
            </w:r>
          </w:p>
        </w:tc>
        <w:tc>
          <w:tcPr>
            <w:tcW w:w="163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t>15 (71.4%)</w:t>
            </w:r>
          </w:p>
        </w:tc>
        <w:tc>
          <w:tcPr>
            <w:tcW w:w="1635"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20 (87.0%)</w:t>
            </w:r>
          </w:p>
        </w:tc>
        <w:tc>
          <w:tcPr>
            <w:tcW w:w="1636" w:type="dxa"/>
            <w:tcBorders>
              <w:left w:val="single" w:sz="2" w:space="0" w:color="000000"/>
              <w:bottom w:val="single" w:sz="2"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t>18 (94.7%)</w:t>
            </w:r>
          </w:p>
        </w:tc>
        <w:tc>
          <w:tcPr>
            <w:tcW w:w="1637" w:type="dxa"/>
            <w:tcBorders>
              <w:left w:val="single" w:sz="2" w:space="0" w:color="000000"/>
              <w:bottom w:val="single" w:sz="2" w:space="0" w:color="000000"/>
            </w:tcBorders>
            <w:shd w:color="auto" w:fill="FFFFFF" w:val="clea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t>40 (81.6%)</w:t>
            </w:r>
          </w:p>
        </w:tc>
        <w:tc>
          <w:tcPr>
            <w:tcW w:w="1635" w:type="dxa"/>
            <w:tcBorders>
              <w:left w:val="single" w:sz="2" w:space="0" w:color="000000"/>
              <w:bottom w:val="single" w:sz="2" w:space="0" w:color="000000"/>
              <w:right w:val="single" w:sz="6" w:space="0" w:color="000000"/>
            </w:tcBorders>
            <w:shd w:color="auto" w:fill="FFFFFF" w:val="clear"/>
          </w:tcPr>
          <w:p>
            <w:pPr>
              <w:pStyle w:val="Normal"/>
              <w:keepNext w:val="true"/>
              <w:spacing w:before="80" w:after="80"/>
              <w:jc w:val="center"/>
              <w:rPr>
                <w:rFonts w:ascii="Times New Roman" w:hAnsi="Times New Roman" w:cs="Times New Roman"/>
                <w:color w:val="000000"/>
              </w:rPr>
            </w:pPr>
            <w:r>
              <w:rPr>
                <w:rFonts w:cs="Times New Roman" w:ascii="Times New Roman" w:hAnsi="Times New Roman"/>
                <w:color w:val="000000"/>
              </w:rPr>
              <w:t>33 (82.5%)</w:t>
            </w:r>
          </w:p>
        </w:tc>
      </w:tr>
      <w:tr>
        <w:trPr>
          <w:cantSplit w:val="true"/>
        </w:trPr>
        <w:tc>
          <w:tcPr>
            <w:tcW w:w="12959" w:type="dxa"/>
            <w:gridSpan w:val="7"/>
            <w:tcBorders>
              <w:left w:val="single" w:sz="6" w:space="0" w:color="000000"/>
              <w:bottom w:val="single" w:sz="6" w:space="0" w:color="000000"/>
              <w:right w:val="single" w:sz="6" w:space="0" w:color="000000"/>
            </w:tcBorders>
            <w:shd w:color="auto" w:fill="FFFFFF" w:val="clea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Respective column header group counts were used as denominator for percentage calculation.</w:t>
            </w:r>
          </w:p>
        </w:tc>
      </w:tr>
    </w:tbl>
    <w:p>
      <w:pPr>
        <w:pStyle w:val="Normal"/>
        <w:rPr/>
      </w:pPr>
      <w:r>
        <w:rPr/>
      </w:r>
    </w:p>
    <w:p>
      <w:pPr>
        <w:pStyle w:val="Normal"/>
        <w:spacing w:before="10" w:after="10"/>
        <w:rPr>
          <w:rFonts w:ascii="Courier New" w:hAnsi="Courier New" w:cs="Courier New"/>
          <w:b/>
          <w:b/>
          <w:bCs/>
          <w:color w:val="000000"/>
          <w:sz w:val="16"/>
          <w:szCs w:val="16"/>
        </w:rPr>
      </w:pPr>
      <w:r>
        <w:rPr/>
      </w:r>
    </w:p>
    <w:sectPr>
      <w:type w:val="nextPage"/>
      <w:pgSz w:orient="landscape" w:w="15840" w:h="12240"/>
      <w:pgMar w:left="1440" w:right="144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21a2b"/>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83548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85c5c"/>
    <w:pPr>
      <w:keepNext w:val="true"/>
      <w:keepLines/>
      <w:spacing w:before="40" w:after="0"/>
      <w:jc w:val="center"/>
      <w:outlineLvl w:val="1"/>
    </w:pPr>
    <w:rPr>
      <w:rFonts w:ascii="Times New Roman" w:hAnsi="Times New Roman" w:eastAsia="" w:cs="" w:cstheme="majorBidi" w:eastAsiaTheme="majorEastAsia"/>
      <w:b/>
      <w:szCs w:val="26"/>
    </w:rPr>
  </w:style>
  <w:style w:type="paragraph" w:styleId="Heading3">
    <w:name w:val="Heading 3"/>
    <w:basedOn w:val="Normal"/>
    <w:next w:val="Normal"/>
    <w:link w:val="Heading3Char"/>
    <w:uiPriority w:val="9"/>
    <w:semiHidden/>
    <w:unhideWhenUsed/>
    <w:qFormat/>
    <w:rsid w:val="0083548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7d62b8"/>
    <w:rPr>
      <w:rFonts w:ascii="Times New Roman" w:hAnsi="Times New Roman" w:eastAsia="Calibri" w:cs="Times New Roman"/>
      <w:sz w:val="16"/>
      <w:szCs w:val="20"/>
      <w:lang w:val="x-none" w:eastAsia="x-none"/>
    </w:rPr>
  </w:style>
  <w:style w:type="character" w:styleId="EncorebodyTFLTextChar" w:customStyle="1">
    <w:name w:val="encore_body_TFL Text Char"/>
    <w:link w:val="encorebodyTFLText"/>
    <w:qFormat/>
    <w:locked/>
    <w:rsid w:val="007d62b8"/>
    <w:rPr>
      <w:rFonts w:ascii="Times New Roman" w:hAnsi="Times New Roman" w:eastAsia="Calibri" w:cs="Times New Roman"/>
      <w:sz w:val="16"/>
      <w:szCs w:val="20"/>
      <w:lang w:val="x-none" w:eastAsia="x-none"/>
    </w:rPr>
  </w:style>
  <w:style w:type="character" w:styleId="FooterChar" w:customStyle="1">
    <w:name w:val="Footer Char"/>
    <w:basedOn w:val="DefaultParagraphFont"/>
    <w:link w:val="Footer"/>
    <w:uiPriority w:val="99"/>
    <w:qFormat/>
    <w:rsid w:val="007d62b8"/>
    <w:rPr/>
  </w:style>
  <w:style w:type="character" w:styleId="Encoretab1Char" w:customStyle="1">
    <w:name w:val="encore_tab1 Char"/>
    <w:link w:val="encoretab1"/>
    <w:qFormat/>
    <w:locked/>
    <w:rsid w:val="007d62b8"/>
    <w:rPr>
      <w:rFonts w:ascii="Times New Roman" w:hAnsi="Times New Roman" w:eastAsia="Calibri" w:cs="Arial"/>
      <w:b/>
      <w:bCs/>
      <w:sz w:val="28"/>
      <w:szCs w:val="20"/>
    </w:rPr>
  </w:style>
  <w:style w:type="character" w:styleId="HeaderChar" w:customStyle="1">
    <w:name w:val="Header Char"/>
    <w:basedOn w:val="DefaultParagraphFont"/>
    <w:link w:val="Header"/>
    <w:uiPriority w:val="99"/>
    <w:qFormat/>
    <w:rsid w:val="00721a2b"/>
    <w:rPr>
      <w:rFonts w:ascii="Calibri" w:hAnsi="Calibri" w:eastAsia="Calibri" w:cs="Arial"/>
      <w:sz w:val="20"/>
      <w:szCs w:val="20"/>
    </w:rPr>
  </w:style>
  <w:style w:type="character" w:styleId="Heading2Char" w:customStyle="1">
    <w:name w:val="Heading 2 Char"/>
    <w:basedOn w:val="DefaultParagraphFont"/>
    <w:link w:val="Heading2"/>
    <w:uiPriority w:val="9"/>
    <w:qFormat/>
    <w:rsid w:val="00a85c5c"/>
    <w:rPr>
      <w:rFonts w:ascii="Times New Roman" w:hAnsi="Times New Roman" w:eastAsia="" w:cs="" w:cstheme="majorBidi" w:eastAsiaTheme="majorEastAsia"/>
      <w:b/>
      <w:sz w:val="20"/>
      <w:szCs w:val="26"/>
    </w:rPr>
  </w:style>
  <w:style w:type="character" w:styleId="Heading1Char" w:customStyle="1">
    <w:name w:val="Heading 1 Char"/>
    <w:basedOn w:val="DefaultParagraphFont"/>
    <w:link w:val="Heading1"/>
    <w:uiPriority w:val="9"/>
    <w:qFormat/>
    <w:rsid w:val="0083548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835483"/>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835483"/>
    <w:rPr>
      <w:color w:val="0563C1" w:themeColor="hyperlink"/>
      <w:u w:val="single"/>
    </w:rPr>
  </w:style>
  <w:style w:type="character" w:styleId="Annotationreference">
    <w:name w:val="annotation reference"/>
    <w:basedOn w:val="DefaultParagraphFont"/>
    <w:uiPriority w:val="99"/>
    <w:semiHidden/>
    <w:unhideWhenUsed/>
    <w:qFormat/>
    <w:rsid w:val="00650f81"/>
    <w:rPr>
      <w:sz w:val="16"/>
      <w:szCs w:val="16"/>
    </w:rPr>
  </w:style>
  <w:style w:type="character" w:styleId="CommentTextChar" w:customStyle="1">
    <w:name w:val="Comment Text Char"/>
    <w:basedOn w:val="DefaultParagraphFont"/>
    <w:link w:val="CommentText"/>
    <w:uiPriority w:val="99"/>
    <w:semiHidden/>
    <w:qFormat/>
    <w:rsid w:val="00650f81"/>
    <w:rPr>
      <w:rFonts w:ascii="Calibri" w:hAnsi="Calibri" w:eastAsia="Calibri" w:cs="Arial"/>
      <w:sz w:val="20"/>
      <w:szCs w:val="20"/>
    </w:rPr>
  </w:style>
  <w:style w:type="character" w:styleId="CommentSubjectChar" w:customStyle="1">
    <w:name w:val="Comment Subject Char"/>
    <w:basedOn w:val="CommentTextChar"/>
    <w:link w:val="CommentSubject"/>
    <w:uiPriority w:val="99"/>
    <w:semiHidden/>
    <w:qFormat/>
    <w:rsid w:val="00650f81"/>
    <w:rPr>
      <w:rFonts w:ascii="Calibri" w:hAnsi="Calibri" w:eastAsia="Calibri" w:cs="Arial"/>
      <w:b/>
      <w:bCs/>
      <w:sz w:val="20"/>
      <w:szCs w:val="20"/>
    </w:rPr>
  </w:style>
  <w:style w:type="character" w:styleId="BalloonTextChar" w:customStyle="1">
    <w:name w:val="Balloon Text Char"/>
    <w:basedOn w:val="DefaultParagraphFont"/>
    <w:link w:val="BalloonText"/>
    <w:uiPriority w:val="99"/>
    <w:semiHidden/>
    <w:qFormat/>
    <w:rsid w:val="00650f81"/>
    <w:rPr>
      <w:rFonts w:ascii="Segoe UI" w:hAnsi="Segoe UI" w:eastAsia="Calibri" w:cs="Segoe UI"/>
      <w:sz w:val="18"/>
      <w:szCs w:val="18"/>
    </w:rPr>
  </w:style>
  <w:style w:type="character" w:styleId="UnresolvedMention">
    <w:name w:val="Unresolved Mention"/>
    <w:basedOn w:val="DefaultParagraphFont"/>
    <w:uiPriority w:val="99"/>
    <w:semiHidden/>
    <w:unhideWhenUsed/>
    <w:qFormat/>
    <w:rsid w:val="006f067f"/>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next w:val="BlockText"/>
    <w:link w:val="BodyTextChar"/>
    <w:rsid w:val="007d62b8"/>
    <w:pPr>
      <w:spacing w:before="120" w:after="0"/>
    </w:pPr>
    <w:rPr>
      <w:rFonts w:ascii="Times New Roman" w:hAnsi="Times New Roman" w:cs="Times New Roman"/>
      <w:sz w:val="16"/>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uiPriority w:val="99"/>
    <w:semiHidden/>
    <w:unhideWhenUsed/>
    <w:qFormat/>
    <w:rsid w:val="007d62b8"/>
    <w:pPr>
      <w:pBdr>
        <w:top w:val="single" w:sz="2" w:space="10" w:color="4472C4"/>
        <w:left w:val="single" w:sz="2" w:space="10" w:color="4472C4"/>
        <w:bottom w:val="single" w:sz="2" w:space="10" w:color="4472C4"/>
        <w:right w:val="single" w:sz="2" w:space="10" w:color="4472C4"/>
      </w:pBdr>
      <w:ind w:left="1152" w:right="1152" w:hanging="0"/>
    </w:pPr>
    <w:rPr>
      <w:rFonts w:eastAsia="" w:eastAsiaTheme="minorEastAsia"/>
      <w:i/>
      <w:iCs/>
      <w:color w:val="4472C4" w:themeColor="accent1"/>
    </w:rPr>
  </w:style>
  <w:style w:type="paragraph" w:styleId="EncorebodyTFLText" w:customStyle="1">
    <w:name w:val="encore_body_TFL Text"/>
    <w:basedOn w:val="Normal"/>
    <w:next w:val="Normal"/>
    <w:link w:val="encorebodyTFLTextChar"/>
    <w:qFormat/>
    <w:rsid w:val="007d62b8"/>
    <w:pPr>
      <w:tabs>
        <w:tab w:val="left" w:pos="187" w:leader="none"/>
        <w:tab w:val="left" w:pos="389" w:leader="none"/>
        <w:tab w:val="left" w:pos="720" w:leader="none"/>
        <w:tab w:val="right" w:pos="12816" w:leader="none"/>
      </w:tabs>
    </w:pPr>
    <w:rPr>
      <w:rFonts w:ascii="Times New Roman" w:hAnsi="Times New Roman" w:cs="Times New Roman"/>
      <w:sz w:val="16"/>
      <w:lang w:val="x-none" w:eastAsia="x-none"/>
    </w:rPr>
  </w:style>
  <w:style w:type="paragraph" w:styleId="Encorefoot" w:customStyle="1">
    <w:name w:val="encore_foot"/>
    <w:basedOn w:val="Normal"/>
    <w:qFormat/>
    <w:rsid w:val="007d62b8"/>
    <w:pPr/>
    <w:rPr>
      <w:rFonts w:ascii="Times New Roman" w:hAnsi="Times New Roman"/>
      <w:bCs/>
      <w:sz w:val="16"/>
      <w:lang w:val="en-GB"/>
    </w:rPr>
  </w:style>
  <w:style w:type="paragraph" w:styleId="Encorehead1" w:customStyle="1">
    <w:name w:val="encore_head1"/>
    <w:basedOn w:val="Normal"/>
    <w:qFormat/>
    <w:rsid w:val="007d62b8"/>
    <w:pPr>
      <w:keepNext w:val="true"/>
      <w:spacing w:before="240" w:after="200"/>
      <w:outlineLvl w:val="1"/>
    </w:pPr>
    <w:rPr>
      <w:rFonts w:ascii="Times New Roman" w:hAnsi="Times New Roman"/>
      <w:b/>
      <w:bCs/>
      <w:caps/>
      <w:sz w:val="28"/>
      <w:szCs w:val="28"/>
    </w:rPr>
  </w:style>
  <w:style w:type="paragraph" w:styleId="Encorehead2" w:customStyle="1">
    <w:name w:val="encore_head2"/>
    <w:basedOn w:val="Normal"/>
    <w:qFormat/>
    <w:rsid w:val="007d62b8"/>
    <w:pPr>
      <w:spacing w:before="240" w:after="120"/>
    </w:pPr>
    <w:rPr>
      <w:rFonts w:ascii="Times New Roman" w:hAnsi="Times New Roman" w:eastAsia="MS Mincho"/>
      <w:b/>
      <w:bCs/>
      <w:sz w:val="24"/>
      <w:szCs w:val="24"/>
      <w:lang w:val="en-GB"/>
    </w:rPr>
  </w:style>
  <w:style w:type="paragraph" w:styleId="Encorefootnote" w:customStyle="1">
    <w:name w:val="encore_footnote"/>
    <w:basedOn w:val="Normal"/>
    <w:next w:val="Footer"/>
    <w:qFormat/>
    <w:rsid w:val="007d62b8"/>
    <w:pPr>
      <w:spacing w:lineRule="auto" w:line="276" w:before="0" w:after="200"/>
    </w:pPr>
    <w:rPr>
      <w:rFonts w:ascii="Times New Roman" w:hAnsi="Times New Roman" w:cs="Courier New"/>
      <w:bCs/>
      <w:sz w:val="16"/>
    </w:rPr>
  </w:style>
  <w:style w:type="paragraph" w:styleId="HeaderandFooter">
    <w:name w:val="Header and Footer"/>
    <w:basedOn w:val="Normal"/>
    <w:qFormat/>
    <w:pPr/>
    <w:rPr/>
  </w:style>
  <w:style w:type="paragraph" w:styleId="Footer">
    <w:name w:val="Footer"/>
    <w:basedOn w:val="Normal"/>
    <w:link w:val="FooterChar"/>
    <w:uiPriority w:val="99"/>
    <w:unhideWhenUsed/>
    <w:rsid w:val="007d62b8"/>
    <w:pPr>
      <w:tabs>
        <w:tab w:val="clear" w:pos="720"/>
        <w:tab w:val="center" w:pos="4680" w:leader="none"/>
        <w:tab w:val="right" w:pos="9360" w:leader="none"/>
      </w:tabs>
    </w:pPr>
    <w:rPr/>
  </w:style>
  <w:style w:type="paragraph" w:styleId="Encorestylesubtitletab3" w:customStyle="1">
    <w:name w:val="encore_style_sub_title_tab3"/>
    <w:basedOn w:val="Normal"/>
    <w:qFormat/>
    <w:rsid w:val="007d62b8"/>
    <w:pPr>
      <w:spacing w:before="120" w:after="120"/>
      <w:jc w:val="center"/>
    </w:pPr>
    <w:rPr>
      <w:rFonts w:ascii="Times New Roman" w:hAnsi="Times New Roman"/>
      <w:b/>
      <w:bCs/>
    </w:rPr>
  </w:style>
  <w:style w:type="paragraph" w:styleId="Encoretab1" w:customStyle="1">
    <w:name w:val="encore_tab1"/>
    <w:basedOn w:val="Normal"/>
    <w:link w:val="encoretab1Char"/>
    <w:qFormat/>
    <w:rsid w:val="007d62b8"/>
    <w:pPr>
      <w:spacing w:before="120" w:after="120"/>
      <w:jc w:val="center"/>
    </w:pPr>
    <w:rPr>
      <w:rFonts w:ascii="Times New Roman" w:hAnsi="Times New Roman"/>
      <w:b/>
      <w:bCs/>
      <w:sz w:val="28"/>
    </w:rPr>
  </w:style>
  <w:style w:type="paragraph" w:styleId="Encoretab2" w:customStyle="1">
    <w:name w:val="encore_tab2"/>
    <w:basedOn w:val="Normal"/>
    <w:qFormat/>
    <w:rsid w:val="007d62b8"/>
    <w:pPr>
      <w:spacing w:before="120" w:after="120"/>
    </w:pPr>
    <w:rPr>
      <w:rFonts w:ascii="Times New Roman" w:hAnsi="Times New Roman" w:cs="Times New Roman"/>
      <w:b/>
      <w:bCs/>
      <w:sz w:val="24"/>
      <w:szCs w:val="24"/>
    </w:rPr>
  </w:style>
  <w:style w:type="paragraph" w:styleId="Encoretext" w:customStyle="1">
    <w:name w:val="encore_text"/>
    <w:basedOn w:val="Normal"/>
    <w:qFormat/>
    <w:rsid w:val="007d62b8"/>
    <w:pPr>
      <w:spacing w:before="120" w:after="120"/>
      <w:ind w:left="720" w:right="14" w:hanging="0"/>
      <w:jc w:val="both"/>
    </w:pPr>
    <w:rPr>
      <w:rFonts w:ascii="Times New Roman" w:hAnsi="Times New Roman" w:cs="Times New Roman"/>
    </w:rPr>
  </w:style>
  <w:style w:type="paragraph" w:styleId="Header">
    <w:name w:val="Header"/>
    <w:basedOn w:val="Normal"/>
    <w:link w:val="HeaderChar"/>
    <w:uiPriority w:val="99"/>
    <w:unhideWhenUsed/>
    <w:rsid w:val="00721a2b"/>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110646"/>
    <w:pPr>
      <w:tabs>
        <w:tab w:val="clear" w:pos="720"/>
        <w:tab w:val="left" w:pos="1710" w:leader="none"/>
        <w:tab w:val="right" w:pos="9730" w:leader="dot"/>
      </w:tabs>
      <w:spacing w:before="0" w:after="100"/>
      <w:ind w:left="1710" w:hanging="1710"/>
      <w:jc w:val="both"/>
    </w:pPr>
    <w:rPr>
      <w:rFonts w:ascii="Times New Roman" w:hAnsi="Times New Roman"/>
    </w:rPr>
  </w:style>
  <w:style w:type="paragraph" w:styleId="Annotationtext">
    <w:name w:val="annotation text"/>
    <w:basedOn w:val="Normal"/>
    <w:link w:val="CommentTextChar"/>
    <w:uiPriority w:val="99"/>
    <w:semiHidden/>
    <w:unhideWhenUsed/>
    <w:qFormat/>
    <w:rsid w:val="00650f81"/>
    <w:pPr/>
    <w:rPr/>
  </w:style>
  <w:style w:type="paragraph" w:styleId="Annotationsubject">
    <w:name w:val="annotation subject"/>
    <w:basedOn w:val="Annotationtext"/>
    <w:next w:val="Annotationtext"/>
    <w:link w:val="CommentSubjectChar"/>
    <w:uiPriority w:val="99"/>
    <w:semiHidden/>
    <w:unhideWhenUsed/>
    <w:qFormat/>
    <w:rsid w:val="00650f81"/>
    <w:pPr/>
    <w:rPr>
      <w:b/>
      <w:bCs/>
    </w:rPr>
  </w:style>
  <w:style w:type="paragraph" w:styleId="BalloonText">
    <w:name w:val="Balloon Text"/>
    <w:basedOn w:val="Normal"/>
    <w:link w:val="BalloonTextChar"/>
    <w:uiPriority w:val="99"/>
    <w:semiHidden/>
    <w:unhideWhenUsed/>
    <w:qFormat/>
    <w:rsid w:val="00650f81"/>
    <w:pPr/>
    <w:rPr>
      <w:rFonts w:ascii="Segoe UI" w:hAnsi="Segoe UI" w:cs="Segoe UI"/>
      <w:sz w:val="18"/>
      <w:szCs w:val="18"/>
    </w:rPr>
  </w:style>
  <w:style w:type="paragraph" w:styleId="Revision">
    <w:name w:val="Revision"/>
    <w:uiPriority w:val="99"/>
    <w:semiHidden/>
    <w:qFormat/>
    <w:rsid w:val="00984b94"/>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1c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6B48-E445-4FFE-BA8F-C3D513467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Application>LibreOffice/6.4.5.2$Linux_X86_64 LibreOffice_project/40$Build-2</Application>
  <Pages>170</Pages>
  <Words>21153</Words>
  <Characters>97215</Characters>
  <CharactersWithSpaces>112598</CharactersWithSpaces>
  <Paragraphs>8793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2019-02-08T06:56:00Z</dcterms:created>
  <dc:creator>Ajeet Kumar</dc:creator>
  <dc:description/>
  <dc:language>en-IN</dc:language>
  <cp:lastModifiedBy/>
  <dcterms:modified xsi:type="dcterms:W3CDTF">2020-09-02T21:27:56Z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