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meeting notes and ideas</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Find way to transcribe music into text for markup so as to better compare the book to the musical</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MEI guidelines</w:t>
      </w:r>
    </w:p>
    <w:p w:rsidR="00000000" w:rsidDel="00000000" w:rsidP="00000000" w:rsidRDefault="00000000" w:rsidRPr="00000000" w14:paraId="00000004">
      <w:pPr>
        <w:numPr>
          <w:ilvl w:val="0"/>
          <w:numId w:val="1"/>
        </w:numPr>
        <w:ind w:left="1440" w:hanging="360"/>
        <w:rPr>
          <w:u w:val="none"/>
        </w:rPr>
      </w:pPr>
      <w:hyperlink r:id="rId6">
        <w:r w:rsidDel="00000000" w:rsidR="00000000" w:rsidRPr="00000000">
          <w:rPr>
            <w:color w:val="1155cc"/>
            <w:u w:val="single"/>
            <w:rtl w:val="0"/>
          </w:rPr>
          <w:t xml:space="preserve">https://music-encoding.org/</w:t>
        </w:r>
      </w:hyperlink>
      <w:r w:rsidDel="00000000" w:rsidR="00000000" w:rsidRPr="00000000">
        <w:rPr>
          <w:rtl w:val="0"/>
        </w:rPr>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Check out and scan sheet music</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Might be a book that has some critical markup about the creation of the musical– Ella owns it and so we definitely could have a copy but it may be available in Hillman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We only need to mark up Part 8, so that’s about 70 pages and can be found on Project Gutenberg. </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Parts of musical do not line up with this section of the book and are taken from other sections but we don’t need to actually annotate the entire book</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We could annotate entire book using regex?</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Attribute on lines from musical denoting what part that the line comes from, if any</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Found a book which is citable for the claim that the play uses certain sections of the book (slightly different translation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Maybe if you click on a line from the musical which correlates to a passage from the book, it will pull up and display the passage related</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Directory of characters with specific characters’ lines or lines related to them when names clicked</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Music player? Analyze hip-hop humanities course project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Conveying different relationships between characters?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Shipping? Doctor Who?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tasks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Mikey will be doing more of the music stuff and it’s her job to try and figure out a good way to get access to and mark up that data, and will look at source code for hip-hop humanities.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Ella will grab the lyrics and get them into XML files and give them basic upconversion</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Maddie will start compiling our character directory and potentially begin marking it up (Include the full names, Anglicized names, and nicknames of each character due to the Russian naming conventions and thoroughly confusing network of translations)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Someone’s gotta get the part of the book marked up,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usic-encod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