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ontserrat" w:hAnsi="Montserrat"/>
          <w:b/>
          <w:color w:val="0D0D0D"/>
          <w:sz w:val="56"/>
        </w:rPr>
        <w:t>MANUAL DE IDENTIDADE</w:t>
      </w:r>
    </w:p>
    <w:p>
      <w:pPr>
        <w:jc w:val="center"/>
      </w:pPr>
      <w:r>
        <w:rPr>
          <w:color w:val="C99A3D"/>
          <w:sz w:val="28"/>
        </w:rPr>
        <w:t>MÉTODO OCD - O COMPORTAMENTO DECIDE</w:t>
      </w:r>
    </w:p>
    <w:p>
      <w:pPr>
        <w:spacing w:after="120"/>
      </w:pPr>
      <w:r>
        <w:rPr>
          <w:b/>
          <w:color w:val="0D0D0D"/>
        </w:rPr>
        <w:t>Criado por Saulo Coelho</w:t>
      </w:r>
    </w:p>
    <w:p>
      <w:pPr>
        <w:spacing w:after="120"/>
      </w:pPr>
      <w:r>
        <w:rPr>
          <w:b w:val="0"/>
          <w:color w:val="0D0D0D"/>
        </w:rPr>
        <w:t>Guia oficial de identidade estratégica, verbal, visual, editorial e de aplicação da marca.</w:t>
      </w:r>
    </w:p>
    <w:p>
      <w:r>
        <w:br w:type="page"/>
      </w:r>
    </w:p>
    <w:p>
      <w:pPr>
        <w:spacing w:before="280"/>
      </w:pPr>
      <w:r>
        <w:rPr>
          <w:b/>
          <w:color w:val="C99A3D"/>
          <w:sz w:val="32"/>
        </w:rPr>
        <w:t>1. ESSÊNCIA DA MARCA</w:t>
      </w:r>
    </w:p>
    <w:p>
      <w:pPr>
        <w:spacing w:after="120"/>
      </w:pPr>
      <w:r>
        <w:rPr>
          <w:b w:val="0"/>
          <w:color w:val="0D0D0D"/>
        </w:rPr>
        <w:t>Nome oficial: MÉTODO OCD</w:t>
      </w:r>
    </w:p>
    <w:p>
      <w:pPr>
        <w:spacing w:after="120"/>
      </w:pPr>
      <w:r>
        <w:rPr>
          <w:b w:val="0"/>
          <w:color w:val="0D0D0D"/>
        </w:rPr>
        <w:t>Significado: O COMPORTAMENTO DECIDE</w:t>
      </w:r>
    </w:p>
    <w:p>
      <w:pPr>
        <w:spacing w:after="120"/>
      </w:pPr>
      <w:r>
        <w:rPr>
          <w:b w:val="0"/>
          <w:color w:val="0D0D0D"/>
        </w:rPr>
        <w:t>Criador: Saulo Coelho</w:t>
      </w:r>
    </w:p>
    <w:p>
      <w:pPr>
        <w:spacing w:after="120"/>
      </w:pPr>
      <w:r>
        <w:rPr>
          <w:b w:val="0"/>
          <w:color w:val="0D0D0D"/>
        </w:rPr>
        <w:t>Big Idea: O COMPORTAMENTO DECIDE.</w:t>
      </w:r>
    </w:p>
    <w:p>
      <w:pPr>
        <w:spacing w:after="120"/>
      </w:pPr>
      <w:r>
        <w:rPr>
          <w:b w:val="0"/>
          <w:color w:val="0D0D0D"/>
        </w:rPr>
        <w:t>Princípio central: conhecimento amplia consciência, decisão define direção e comportamento sustentado produz transformação.</w:t>
      </w:r>
    </w:p>
    <w:p>
      <w:pPr>
        <w:spacing w:after="120"/>
      </w:pPr>
      <w:r>
        <w:rPr>
          <w:b w:val="0"/>
          <w:color w:val="0D0D0D"/>
        </w:rPr>
        <w:t>Posicionamento: um método de desenvolvimento comportamental orientado à identificação de padrões, tomada de decisão, construção de respostas mais funcionais e sustentação de novos comportamentos.</w:t>
      </w:r>
    </w:p>
    <w:p>
      <w:pPr>
        <w:spacing w:before="280"/>
      </w:pPr>
      <w:r>
        <w:rPr>
          <w:b/>
          <w:color w:val="C99A3D"/>
          <w:sz w:val="32"/>
        </w:rPr>
        <w:t>O que a marca deve transmitir</w:t>
      </w:r>
    </w:p>
    <w:p>
      <w:pPr>
        <w:spacing w:after="120"/>
      </w:pPr>
      <w:r>
        <w:rPr>
          <w:b w:val="0"/>
          <w:color w:val="0D0D0D"/>
        </w:rPr>
        <w:t>Clareza, profundidade, responsabilidade, decisão, consistência, transformação, liderança, maturidade e aplicação prática.</w:t>
      </w:r>
    </w:p>
    <w:p>
      <w:pPr>
        <w:spacing w:before="280"/>
      </w:pPr>
      <w:r>
        <w:rPr>
          <w:b/>
          <w:color w:val="C99A3D"/>
          <w:sz w:val="32"/>
        </w:rPr>
        <w:t>O que a marca não deve transmitir</w:t>
      </w:r>
    </w:p>
    <w:p>
      <w:pPr>
        <w:spacing w:after="120"/>
      </w:pPr>
      <w:r>
        <w:rPr>
          <w:b w:val="0"/>
          <w:color w:val="0D0D0D"/>
        </w:rPr>
        <w:t>Motivação vazia, promessa fácil, excesso de autoajuda, estética infantil, linguagem mística genérica ou mudança baseada apenas em intenção.</w:t>
      </w:r>
    </w:p>
    <w:p>
      <w:pPr>
        <w:spacing w:before="280"/>
      </w:pPr>
      <w:r>
        <w:rPr>
          <w:b/>
          <w:color w:val="C99A3D"/>
          <w:sz w:val="32"/>
        </w:rPr>
        <w:t>2. MANIFESTO OCD</w:t>
      </w:r>
    </w:p>
    <w:p>
      <w:pPr>
        <w:spacing w:after="120"/>
      </w:pPr>
      <w:r>
        <w:rPr>
          <w:b w:val="0"/>
          <w:color w:val="0D0D0D"/>
        </w:rPr>
        <w:t>Saber não é fazer. Querer não é sustentar. Uma decisão sem comportamento continua sendo intenção. O Método OCD parte de uma premissa simples: resultados são construídos pelo repertório que uma pessoa acessa, especialmente quando a pressão aumenta. O objetivo não é apenas compreender por que alguém age como age. É enxergar o padrão, interromper o automatismo, decidir uma resposta e sustentar um comportamento capaz de produzir um resultado diferente.</w:t>
      </w:r>
    </w:p>
    <w:p>
      <w:pPr>
        <w:spacing w:after="120"/>
      </w:pPr>
      <w:r>
        <w:rPr>
          <w:b w:val="0"/>
          <w:color w:val="0D0D0D"/>
        </w:rPr>
        <w:t>A pressão não cria o padrão do nada. Ela revela aquilo que já estava instalado. Por isso, mudança real não termina na consciência. Ela precisa chegar ao comportamento.</w:t>
      </w:r>
    </w:p>
    <w:p>
      <w:pPr>
        <w:spacing w:after="120"/>
      </w:pPr>
      <w:r>
        <w:rPr>
          <w:b/>
          <w:color w:val="0D0D0D"/>
        </w:rPr>
        <w:t>O COMPORTAMENTO DECIDE.</w:t>
      </w:r>
    </w:p>
    <w:p>
      <w:r>
        <w:br w:type="page"/>
      </w:r>
    </w:p>
    <w:p>
      <w:pPr>
        <w:spacing w:before="280"/>
      </w:pPr>
      <w:r>
        <w:rPr>
          <w:b/>
          <w:color w:val="C99A3D"/>
          <w:sz w:val="32"/>
        </w:rPr>
        <w:t>3. ARQUITETURA CONCEITUAL</w:t>
      </w:r>
    </w:p>
    <w:p>
      <w:pPr>
        <w:spacing w:after="120"/>
      </w:pPr>
      <w:r>
        <w:rPr>
          <w:b w:val="0"/>
          <w:color w:val="0D0D0D"/>
        </w:rPr>
        <w:t>Sequência-mãe do Método: OBSERVAR → COMPREENDER → DECIDIR → AGIR → SUSTENTAR.</w:t>
      </w:r>
    </w:p>
    <w:p>
      <w:pPr>
        <w:spacing w:after="120"/>
      </w:pPr>
      <w:r>
        <w:rPr>
          <w:b w:val="0"/>
          <w:color w:val="0D0D0D"/>
        </w:rPr>
        <w:t>Toda ferramenta, aula, sessão, diagnóstico ou conteúdo OCD deve, sempre que aplicável, aproximar a pessoa dessa sequência.</w:t>
      </w:r>
    </w:p>
    <w:p>
      <w:pPr>
        <w:spacing w:before="280"/>
      </w:pPr>
      <w:r>
        <w:rPr>
          <w:b/>
          <w:color w:val="C99A3D"/>
          <w:sz w:val="32"/>
        </w:rPr>
        <w:t>Princípios editoriais</w:t>
      </w:r>
    </w:p>
    <w:p>
      <w:pPr>
        <w:spacing w:after="120"/>
      </w:pPr>
      <w:r>
        <w:rPr>
          <w:b w:val="0"/>
          <w:color w:val="0D0D0D"/>
        </w:rPr>
        <w:t>1. Tornar o padrão visível.</w:t>
        <w:br/>
        <w:t>2. Separar fato, interpretação e comportamento.</w:t>
        <w:br/>
        <w:t>3. Investigar crenças e regras internas sem transformar explicação em desculpa.</w:t>
        <w:br/>
        <w:t>4. Conduzir para decisão.</w:t>
        <w:br/>
        <w:t>5. Converter decisão em comportamento observável.</w:t>
        <w:br/>
        <w:t>6. Criar sustentação e repetição.</w:t>
      </w:r>
    </w:p>
    <w:p>
      <w:pPr>
        <w:spacing w:before="280"/>
      </w:pPr>
      <w:r>
        <w:rPr>
          <w:b/>
          <w:color w:val="C99A3D"/>
          <w:sz w:val="32"/>
        </w:rPr>
        <w:t>4. ASSINATURAS OFICIAIS</w:t>
      </w:r>
    </w:p>
    <w:p>
      <w:pPr>
        <w:spacing w:after="120"/>
      </w:pPr>
      <w:r>
        <w:rPr>
          <w:b w:val="0"/>
          <w:color w:val="0D0D0D"/>
        </w:rPr>
        <w:t>MÉTODO OCD</w:t>
      </w:r>
    </w:p>
    <w:p>
      <w:pPr>
        <w:spacing w:after="120"/>
      </w:pPr>
      <w:r>
        <w:rPr>
          <w:b w:val="0"/>
          <w:color w:val="0D0D0D"/>
        </w:rPr>
        <w:t>O COMPORTAMENTO DECIDE</w:t>
      </w:r>
    </w:p>
    <w:p>
      <w:pPr>
        <w:spacing w:after="120"/>
      </w:pPr>
      <w:r>
        <w:rPr>
          <w:b w:val="0"/>
          <w:color w:val="0D0D0D"/>
        </w:rPr>
        <w:t>MÉTODO OCD - O COMPORTAMENTO DECIDE</w:t>
      </w:r>
    </w:p>
    <w:p>
      <w:pPr>
        <w:spacing w:after="120"/>
      </w:pPr>
      <w:r>
        <w:rPr>
          <w:b w:val="0"/>
          <w:color w:val="0D0D0D"/>
        </w:rPr>
        <w:t>Método OCD - Saulo Coelho</w:t>
      </w:r>
    </w:p>
    <w:p>
      <w:pPr>
        <w:spacing w:after="120"/>
      </w:pPr>
      <w:r>
        <w:rPr>
          <w:b w:val="0"/>
          <w:color w:val="0D0D0D"/>
        </w:rPr>
        <w:t>Criado por Saulo Coelho</w:t>
      </w:r>
    </w:p>
    <w:p>
      <w:pPr>
        <w:spacing w:after="120"/>
      </w:pPr>
      <w:r>
        <w:rPr>
          <w:b w:val="0"/>
          <w:color w:val="0D0D0D"/>
        </w:rPr>
        <w:t>Saulo Coelho - Terapeuta Comportamental de Líderes</w:t>
      </w:r>
    </w:p>
    <w:p>
      <w:pPr>
        <w:spacing w:after="120"/>
      </w:pPr>
      <w:r>
        <w:rPr>
          <w:b w:val="0"/>
          <w:color w:val="0D0D0D"/>
        </w:rPr>
        <w:t>Saulo Coelho - Criador do Método OCD®</w:t>
      </w:r>
    </w:p>
    <w:p>
      <w:pPr>
        <w:spacing w:after="120"/>
      </w:pPr>
      <w:r>
        <w:rPr>
          <w:b w:val="0"/>
          <w:color w:val="0D0D0D"/>
        </w:rPr>
        <w:t>Uso do símbolo ® somente quando juridicamente aplicável ao registro correspondente.</w:t>
      </w:r>
    </w:p>
    <w:p>
      <w:pPr>
        <w:spacing w:before="280"/>
      </w:pPr>
      <w:r>
        <w:rPr>
          <w:b/>
          <w:color w:val="C99A3D"/>
          <w:sz w:val="32"/>
        </w:rPr>
        <w:t>Regra</w:t>
      </w:r>
    </w:p>
    <w:p>
      <w:pPr>
        <w:spacing w:after="120"/>
      </w:pPr>
      <w:r>
        <w:rPr>
          <w:b w:val="0"/>
          <w:color w:val="0D0D0D"/>
        </w:rPr>
        <w:t>Em materiais institucionais, preservar a associação entre Método OCD, O Comportamento Decide e Saulo Coelho. Em peças promocionais, reduzir elementos quando necessário, sem alterar o nome oficial da marca.</w:t>
      </w:r>
    </w:p>
    <w:p>
      <w:pPr>
        <w:spacing w:before="280"/>
      </w:pPr>
      <w:r>
        <w:rPr>
          <w:b/>
          <w:color w:val="C99A3D"/>
          <w:sz w:val="32"/>
        </w:rPr>
        <w:t>5. IDENTIDADE VERBAL</w:t>
      </w:r>
    </w:p>
    <w:p>
      <w:pPr>
        <w:spacing w:after="120"/>
      </w:pPr>
      <w:r>
        <w:rPr>
          <w:b w:val="0"/>
          <w:color w:val="0D0D0D"/>
        </w:rPr>
        <w:t>Tom: direto, humano, provocativo, claro e responsável. A marca confronta padrões sem humilhar pessoas.</w:t>
      </w:r>
    </w:p>
    <w:p>
      <w:pPr>
        <w:spacing w:after="120"/>
      </w:pPr>
      <w:r>
        <w:rPr>
          <w:b w:val="0"/>
          <w:color w:val="0D0D0D"/>
        </w:rPr>
        <w:t>Preferir: comportamento, decisão, padrão, pressão, responsabilidade, sustentação, repertório, clareza, crença, ação, resultado, CMV, consistência.</w:t>
      </w:r>
    </w:p>
    <w:p>
      <w:pPr>
        <w:spacing w:after="120"/>
      </w:pPr>
      <w:r>
        <w:rPr>
          <w:b w:val="0"/>
          <w:color w:val="0D0D0D"/>
        </w:rPr>
        <w:t>Evitar: fórmulas milagrosas, garantias de transformação, clichês motivacionais vazios, linguagem excessivamente técnica quando uma formulação simples for suficiente.</w:t>
      </w:r>
    </w:p>
    <w:p>
      <w:pPr>
        <w:spacing w:before="280"/>
      </w:pPr>
      <w:r>
        <w:rPr>
          <w:b/>
          <w:color w:val="C99A3D"/>
          <w:sz w:val="32"/>
        </w:rPr>
        <w:t>Estrutura recomendada de conteúdo</w:t>
      </w:r>
    </w:p>
    <w:p>
      <w:pPr>
        <w:spacing w:after="120"/>
      </w:pPr>
      <w:r>
        <w:rPr>
          <w:b w:val="0"/>
          <w:color w:val="0D0D0D"/>
        </w:rPr>
        <w:t>Tensão ou pergunta → padrão observado → consequência → decisão → comportamento aplicável.</w:t>
      </w:r>
    </w:p>
    <w:p>
      <w:pPr>
        <w:spacing w:before="280"/>
      </w:pPr>
      <w:r>
        <w:rPr>
          <w:b/>
          <w:color w:val="C99A3D"/>
          <w:sz w:val="32"/>
        </w:rPr>
        <w:t>Frases de assinatura</w:t>
      </w:r>
    </w:p>
    <w:p>
      <w:pPr>
        <w:spacing w:after="120"/>
      </w:pPr>
      <w:r>
        <w:rPr>
          <w:b w:val="0"/>
          <w:color w:val="0D0D0D"/>
        </w:rPr>
        <w:t>O COMPORTAMENTO DECIDE.</w:t>
      </w:r>
    </w:p>
    <w:p>
      <w:pPr>
        <w:spacing w:after="120"/>
      </w:pPr>
      <w:r>
        <w:rPr>
          <w:b w:val="0"/>
          <w:color w:val="0D0D0D"/>
        </w:rPr>
        <w:t>Quando a motivação acaba, o comportamento decide.</w:t>
      </w:r>
    </w:p>
    <w:p>
      <w:pPr>
        <w:spacing w:after="120"/>
      </w:pPr>
      <w:r>
        <w:rPr>
          <w:b w:val="0"/>
          <w:color w:val="0D0D0D"/>
        </w:rPr>
        <w:t>A intenção revela o que você deseja. O comportamento revela quem você se tornou.</w:t>
      </w:r>
    </w:p>
    <w:p>
      <w:pPr>
        <w:spacing w:after="120"/>
      </w:pPr>
      <w:r>
        <w:rPr>
          <w:b w:val="0"/>
          <w:color w:val="0D0D0D"/>
        </w:rPr>
        <w:t>Quem vive de improviso é governado pelo ambiente. Quem decide antes começa a governar o próprio comportamento.</w:t>
      </w:r>
    </w:p>
    <w:p>
      <w:pPr>
        <w:spacing w:after="120"/>
      </w:pPr>
      <w:r>
        <w:rPr>
          <w:b w:val="0"/>
          <w:color w:val="0D0D0D"/>
        </w:rPr>
        <w:t>A pergunta não muda a vida. A resposta também não. O que muda a vida é o comportamento que a pessoa decide sustentar depois de enxergar a resposta.</w:t>
      </w:r>
    </w:p>
    <w:p>
      <w:r>
        <w:br w:type="page"/>
      </w:r>
    </w:p>
    <w:p>
      <w:pPr>
        <w:spacing w:before="280"/>
      </w:pPr>
      <w:r>
        <w:rPr>
          <w:b/>
          <w:color w:val="C99A3D"/>
          <w:sz w:val="32"/>
        </w:rPr>
        <w:t>6. SISTEMA DE 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COR</w:t>
            </w:r>
          </w:p>
        </w:tc>
        <w:tc>
          <w:tcPr>
            <w:tcW w:type="dxa" w:w="2520"/>
          </w:tcPr>
          <w:p>
            <w:r>
              <w:t>HEX</w:t>
            </w:r>
          </w:p>
        </w:tc>
        <w:tc>
          <w:tcPr>
            <w:tcW w:type="dxa" w:w="2520"/>
          </w:tcPr>
          <w:p>
            <w:r>
              <w:t>RGB</w:t>
            </w:r>
          </w:p>
        </w:tc>
        <w:tc>
          <w:tcPr>
            <w:tcW w:type="dxa" w:w="2520"/>
          </w:tcPr>
          <w:p>
            <w:r>
              <w:t>USO</w:t>
            </w:r>
          </w:p>
        </w:tc>
      </w:tr>
      <w:tr>
        <w:tc>
          <w:tcPr>
            <w:tcW w:type="dxa" w:w="2520"/>
          </w:tcPr>
          <w:p>
            <w:r>
              <w:t>Preto OCD</w:t>
            </w:r>
          </w:p>
        </w:tc>
        <w:tc>
          <w:tcPr>
            <w:tcW w:type="dxa" w:w="2520"/>
          </w:tcPr>
          <w:p>
            <w:r>
              <w:t>#0D0D0D</w:t>
            </w:r>
          </w:p>
        </w:tc>
        <w:tc>
          <w:tcPr>
            <w:tcW w:type="dxa" w:w="2520"/>
          </w:tcPr>
          <w:p>
            <w:r>
              <w:t>13, 13, 13</w:t>
            </w:r>
          </w:p>
        </w:tc>
        <w:tc>
          <w:tcPr>
            <w:tcW w:type="dxa" w:w="2520"/>
          </w:tcPr>
          <w:p>
            <w:r>
              <w:t>Fundos premium, estrutura, títulos</w:t>
            </w:r>
          </w:p>
        </w:tc>
      </w:tr>
      <w:tr>
        <w:tc>
          <w:tcPr>
            <w:tcW w:type="dxa" w:w="2520"/>
          </w:tcPr>
          <w:p>
            <w:r>
              <w:t>Dourado OCD</w:t>
            </w:r>
          </w:p>
        </w:tc>
        <w:tc>
          <w:tcPr>
            <w:tcW w:type="dxa" w:w="2520"/>
          </w:tcPr>
          <w:p>
            <w:r>
              <w:t>#C99A3D</w:t>
            </w:r>
          </w:p>
        </w:tc>
        <w:tc>
          <w:tcPr>
            <w:tcW w:type="dxa" w:w="2520"/>
          </w:tcPr>
          <w:p>
            <w:r>
              <w:t>201, 154, 61</w:t>
            </w:r>
          </w:p>
        </w:tc>
        <w:tc>
          <w:tcPr>
            <w:tcW w:type="dxa" w:w="2520"/>
          </w:tcPr>
          <w:p>
            <w:r>
              <w:t>Assinatura, destaques, linhas</w:t>
            </w:r>
          </w:p>
        </w:tc>
      </w:tr>
      <w:tr>
        <w:tc>
          <w:tcPr>
            <w:tcW w:type="dxa" w:w="2520"/>
          </w:tcPr>
          <w:p>
            <w:r>
              <w:t>Dourado Claro</w:t>
            </w:r>
          </w:p>
        </w:tc>
        <w:tc>
          <w:tcPr>
            <w:tcW w:type="dxa" w:w="2520"/>
          </w:tcPr>
          <w:p>
            <w:r>
              <w:t>#D9B86C</w:t>
            </w:r>
          </w:p>
        </w:tc>
        <w:tc>
          <w:tcPr>
            <w:tcW w:type="dxa" w:w="2520"/>
          </w:tcPr>
          <w:p>
            <w:r>
              <w:t>217, 184, 108</w:t>
            </w:r>
          </w:p>
        </w:tc>
        <w:tc>
          <w:tcPr>
            <w:tcW w:type="dxa" w:w="2520"/>
          </w:tcPr>
          <w:p>
            <w:r>
              <w:t>Detalhes secundários</w:t>
            </w:r>
          </w:p>
        </w:tc>
      </w:tr>
      <w:tr>
        <w:tc>
          <w:tcPr>
            <w:tcW w:type="dxa" w:w="2520"/>
          </w:tcPr>
          <w:p>
            <w:r>
              <w:t>Branco OCD</w:t>
            </w:r>
          </w:p>
        </w:tc>
        <w:tc>
          <w:tcPr>
            <w:tcW w:type="dxa" w:w="2520"/>
          </w:tcPr>
          <w:p>
            <w:r>
              <w:t>#FFFFFF</w:t>
            </w:r>
          </w:p>
        </w:tc>
        <w:tc>
          <w:tcPr>
            <w:tcW w:type="dxa" w:w="2520"/>
          </w:tcPr>
          <w:p>
            <w:r>
              <w:t>255, 255, 255</w:t>
            </w:r>
          </w:p>
        </w:tc>
        <w:tc>
          <w:tcPr>
            <w:tcW w:type="dxa" w:w="2520"/>
          </w:tcPr>
          <w:p>
            <w:r>
              <w:t>Contraste e fundos</w:t>
            </w:r>
          </w:p>
        </w:tc>
      </w:tr>
      <w:tr>
        <w:tc>
          <w:tcPr>
            <w:tcW w:type="dxa" w:w="2520"/>
          </w:tcPr>
          <w:p>
            <w:r>
              <w:t>Off-white Editorial</w:t>
            </w:r>
          </w:p>
        </w:tc>
        <w:tc>
          <w:tcPr>
            <w:tcW w:type="dxa" w:w="2520"/>
          </w:tcPr>
          <w:p>
            <w:r>
              <w:t>#F6F3EC</w:t>
            </w:r>
          </w:p>
        </w:tc>
        <w:tc>
          <w:tcPr>
            <w:tcW w:type="dxa" w:w="2520"/>
          </w:tcPr>
          <w:p>
            <w:r>
              <w:t>246, 243, 236</w:t>
            </w:r>
          </w:p>
        </w:tc>
        <w:tc>
          <w:tcPr>
            <w:tcW w:type="dxa" w:w="2520"/>
          </w:tcPr>
          <w:p>
            <w:r>
              <w:t>Livros, apostilas e documentos</w:t>
            </w:r>
          </w:p>
        </w:tc>
      </w:tr>
      <w:tr>
        <w:tc>
          <w:tcPr>
            <w:tcW w:type="dxa" w:w="2520"/>
          </w:tcPr>
          <w:p>
            <w:r>
              <w:t>Grafite</w:t>
            </w:r>
          </w:p>
        </w:tc>
        <w:tc>
          <w:tcPr>
            <w:tcW w:type="dxa" w:w="2520"/>
          </w:tcPr>
          <w:p>
            <w:r>
              <w:t>#292929</w:t>
            </w:r>
          </w:p>
        </w:tc>
        <w:tc>
          <w:tcPr>
            <w:tcW w:type="dxa" w:w="2520"/>
          </w:tcPr>
          <w:p>
            <w:r>
              <w:t>41, 41, 41</w:t>
            </w:r>
          </w:p>
        </w:tc>
        <w:tc>
          <w:tcPr>
            <w:tcW w:type="dxa" w:w="2520"/>
          </w:tcPr>
          <w:p>
            <w:r>
              <w:t>Fundos e blocos secundários</w:t>
            </w:r>
          </w:p>
        </w:tc>
      </w:tr>
      <w:tr>
        <w:tc>
          <w:tcPr>
            <w:tcW w:type="dxa" w:w="2520"/>
          </w:tcPr>
          <w:p>
            <w:r>
              <w:t>Cinza</w:t>
            </w:r>
          </w:p>
        </w:tc>
        <w:tc>
          <w:tcPr>
            <w:tcW w:type="dxa" w:w="2520"/>
          </w:tcPr>
          <w:p>
            <w:r>
              <w:t>#666666</w:t>
            </w:r>
          </w:p>
        </w:tc>
        <w:tc>
          <w:tcPr>
            <w:tcW w:type="dxa" w:w="2520"/>
          </w:tcPr>
          <w:p>
            <w:r>
              <w:t>102, 102, 102</w:t>
            </w:r>
          </w:p>
        </w:tc>
        <w:tc>
          <w:tcPr>
            <w:tcW w:type="dxa" w:w="2520"/>
          </w:tcPr>
          <w:p>
            <w:r>
              <w:t>Texto auxiliar</w:t>
            </w:r>
          </w:p>
        </w:tc>
      </w:tr>
    </w:tbl>
    <w:p>
      <w:pPr>
        <w:spacing w:after="120"/>
      </w:pPr>
      <w:r>
        <w:rPr>
          <w:b w:val="0"/>
          <w:color w:val="0D0D0D"/>
        </w:rPr>
        <w:t>Proporção recomendada: aproximadamente 70% preto/branco/off-white, 20% dourado e 10% grafite/cinza. O dourado é assinatura e destaque, não preenchimento indiscriminado.</w:t>
      </w:r>
    </w:p>
    <w:p>
      <w:pPr>
        <w:spacing w:before="280"/>
      </w:pPr>
      <w:r>
        <w:rPr>
          <w:b/>
          <w:color w:val="C99A3D"/>
          <w:sz w:val="32"/>
        </w:rPr>
        <w:t>Contraste</w:t>
      </w:r>
    </w:p>
    <w:p>
      <w:pPr>
        <w:spacing w:after="120"/>
      </w:pPr>
      <w:r>
        <w:rPr>
          <w:b w:val="0"/>
          <w:color w:val="0D0D0D"/>
        </w:rPr>
        <w:t>Fundo preto: texto branco e dourado. Fundo branco/off-white: texto preto/grafite e dourado. Evitar dourado em textos longos e combinações de baixo contraste.</w:t>
      </w:r>
    </w:p>
    <w:p>
      <w:pPr>
        <w:spacing w:before="280"/>
      </w:pPr>
      <w:r>
        <w:rPr>
          <w:b/>
          <w:color w:val="C99A3D"/>
          <w:sz w:val="32"/>
        </w:rPr>
        <w:t>7. TIPOGRAFIA</w:t>
      </w:r>
    </w:p>
    <w:p>
      <w:pPr>
        <w:spacing w:after="120"/>
      </w:pPr>
      <w:r>
        <w:rPr>
          <w:b w:val="0"/>
          <w:color w:val="0D0D0D"/>
        </w:rPr>
        <w:t>Fonte funcional principal: Montserrat.</w:t>
      </w:r>
    </w:p>
    <w:p>
      <w:pPr>
        <w:spacing w:after="120"/>
      </w:pPr>
      <w:r>
        <w:rPr>
          <w:b w:val="0"/>
          <w:color w:val="0D0D0D"/>
        </w:rPr>
        <w:t>Títulos: Montserrat ExtraBold/Bold. Subtítulos: Montserrat SemiBold. Texto: Montserrat Regular/Medium.</w:t>
      </w:r>
    </w:p>
    <w:p>
      <w:pPr>
        <w:spacing w:after="120"/>
      </w:pPr>
      <w:r>
        <w:rPr>
          <w:b w:val="0"/>
          <w:color w:val="0D0D0D"/>
        </w:rPr>
        <w:t>Fonte editorial complementar: Cormorant Garamond.</w:t>
      </w:r>
    </w:p>
    <w:p>
      <w:pPr>
        <w:spacing w:after="120"/>
      </w:pPr>
      <w:r>
        <w:rPr>
          <w:b w:val="0"/>
          <w:color w:val="0D0D0D"/>
        </w:rPr>
        <w:t>Uso: capas, frases autorais, aberturas institucionais e detalhes editoriais. Não usar como fonte dominante em diagramas ou textos técnicos.</w:t>
      </w:r>
    </w:p>
    <w:p>
      <w:pPr>
        <w:spacing w:before="280"/>
      </w:pPr>
      <w:r>
        <w:rPr>
          <w:b/>
          <w:color w:val="C99A3D"/>
          <w:sz w:val="32"/>
        </w:rPr>
        <w:t>Hierarquia</w:t>
      </w:r>
    </w:p>
    <w:p>
      <w:pPr>
        <w:spacing w:after="120"/>
      </w:pPr>
      <w:r>
        <w:rPr>
          <w:b w:val="0"/>
          <w:color w:val="0D0D0D"/>
        </w:rPr>
        <w:t>Título principal: forte, curto, com alta presença visual.</w:t>
        <w:br/>
        <w:t>Subtítulo: explica sem competir com o título.</w:t>
        <w:br/>
        <w:t>Corpo: legibilidade acima de efeito.</w:t>
        <w:br/>
        <w:t>Frase autoral: pode receber tratamento editorial.</w:t>
        <w:br/>
        <w:t>Big Idea: O COMPORTAMENTO DECIDE deve manter força e simplicidade.</w:t>
      </w:r>
    </w:p>
    <w:p>
      <w:pPr>
        <w:spacing w:after="120"/>
      </w:pPr>
      <w:r>
        <w:rPr>
          <w:b w:val="0"/>
          <w:color w:val="0D0D0D"/>
        </w:rPr>
        <w:t>Caso as fontes oficiais não estejam disponíveis em determinado ambiente, o fornecedor deve obter as famílias por fonte oficial/licenciada ou usar substituição previamente aprovada. Não deformar ou reconstruir a tipografia.</w:t>
      </w:r>
    </w:p>
    <w:p>
      <w:r>
        <w:br w:type="page"/>
      </w:r>
    </w:p>
    <w:p>
      <w:pPr>
        <w:spacing w:before="280"/>
      </w:pPr>
      <w:r>
        <w:rPr>
          <w:b/>
          <w:color w:val="C99A3D"/>
          <w:sz w:val="32"/>
        </w:rPr>
        <w:t>8. LOGOTIPO E MARCA</w:t>
      </w:r>
    </w:p>
    <w:p>
      <w:pPr>
        <w:spacing w:after="120"/>
      </w:pPr>
      <w:r>
        <w:rPr>
          <w:b w:val="0"/>
          <w:color w:val="0D0D0D"/>
        </w:rPr>
        <w:t>A logo OCD deve ser utilizada a partir do arquivo-mestre aprovado. O manual não autoriza redesenho, troca de tipografia, alteração de proporção, mudança arbitrária de cores, efeitos adicionais ou reorganização dos elementos.</w:t>
      </w:r>
    </w:p>
    <w:p>
      <w:pPr>
        <w:spacing w:before="280"/>
      </w:pPr>
      <w:r>
        <w:rPr>
          <w:b/>
          <w:color w:val="C99A3D"/>
          <w:sz w:val="32"/>
        </w:rPr>
        <w:t>Área de proteção</w:t>
      </w:r>
    </w:p>
    <w:p>
      <w:pPr>
        <w:spacing w:after="120"/>
      </w:pPr>
      <w:r>
        <w:rPr>
          <w:b w:val="0"/>
          <w:color w:val="0D0D0D"/>
        </w:rPr>
        <w:t>Manter ao redor da marca uma área livre suficiente para que nenhum texto, borda, fotografia ou elemento gráfico concorra com sua leitura. Como regra operacional, usar pelo menos a altura da letra O de OCD como referência de respiro.</w:t>
      </w:r>
    </w:p>
    <w:p>
      <w:pPr>
        <w:spacing w:before="280"/>
      </w:pPr>
      <w:r>
        <w:rPr>
          <w:b/>
          <w:color w:val="C99A3D"/>
          <w:sz w:val="32"/>
        </w:rPr>
        <w:t>Fundos</w:t>
      </w:r>
    </w:p>
    <w:p>
      <w:pPr>
        <w:spacing w:after="120"/>
      </w:pPr>
      <w:r>
        <w:rPr>
          <w:b w:val="0"/>
          <w:color w:val="0D0D0D"/>
        </w:rPr>
        <w:t>Preferenciais: preto, branco, off-white ou fotografia escurecida com contraste suficiente. Não aplicar sobre fundos visualmente ruidosos sem área de proteção.</w:t>
      </w:r>
    </w:p>
    <w:p>
      <w:pPr>
        <w:spacing w:before="280"/>
      </w:pPr>
      <w:r>
        <w:rPr>
          <w:b/>
          <w:color w:val="C99A3D"/>
          <w:sz w:val="32"/>
        </w:rPr>
        <w:t>Usos incorretos</w:t>
      </w:r>
    </w:p>
    <w:p>
      <w:pPr>
        <w:spacing w:after="120"/>
      </w:pPr>
      <w:r>
        <w:rPr>
          <w:b w:val="0"/>
          <w:color w:val="0D0D0D"/>
        </w:rPr>
        <w:t>Não esticar; não inclinar; não aplicar sombras não previstas; não trocar dourado por cores aleatórias; não alterar a ordem dos elementos; não inserir frases dentro da marca; não reduzir até perder legibilidade.</w:t>
      </w:r>
    </w:p>
    <w:p>
      <w:pPr>
        <w:spacing w:before="280"/>
      </w:pPr>
      <w:r>
        <w:rPr>
          <w:b/>
          <w:color w:val="C99A3D"/>
          <w:sz w:val="32"/>
        </w:rPr>
        <w:t>9. DIREÇÃO DE ARTE</w:t>
      </w:r>
    </w:p>
    <w:p>
      <w:pPr>
        <w:spacing w:after="120"/>
      </w:pPr>
      <w:r>
        <w:rPr>
          <w:b w:val="0"/>
          <w:color w:val="0D0D0D"/>
        </w:rPr>
        <w:t>Estética: premium, sóbria, contemporânea, cinematográfica quando promocional e limpa quando didática.</w:t>
      </w:r>
    </w:p>
    <w:p>
      <w:pPr>
        <w:spacing w:after="120"/>
      </w:pPr>
      <w:r>
        <w:rPr>
          <w:b w:val="0"/>
          <w:color w:val="0D0D0D"/>
        </w:rPr>
        <w:t>Temas visuais: decisão, caminhos, encruzilhadas, pressão, liderança, movimento, ruptura, direção, comportamento, construção, contraste entre padrão antigo e novo.</w:t>
      </w:r>
    </w:p>
    <w:p>
      <w:pPr>
        <w:spacing w:after="120"/>
      </w:pPr>
      <w:r>
        <w:rPr>
          <w:b w:val="0"/>
          <w:color w:val="0D0D0D"/>
        </w:rPr>
        <w:t>Fotografia humana: expressões reais, postura, decisão e contexto. Evitar imagens caricatas, felicidade artificial, poses genéricas de banco de imagens e excesso de elementos.</w:t>
      </w:r>
    </w:p>
    <w:p>
      <w:pPr>
        <w:spacing w:after="120"/>
      </w:pPr>
      <w:r>
        <w:rPr>
          <w:b w:val="0"/>
          <w:color w:val="0D0D0D"/>
        </w:rPr>
        <w:t>Promocional: preto + dourado, contraste alto, luz dramática, títulos curtos.</w:t>
        <w:br/>
        <w:t>Didático/editorial: branco/off-white + preto + dourado, muito espaço negativo, diagramas claros.</w:t>
      </w:r>
    </w:p>
    <w:p>
      <w:pPr>
        <w:spacing w:before="280"/>
      </w:pPr>
      <w:r>
        <w:rPr>
          <w:b/>
          <w:color w:val="C99A3D"/>
          <w:sz w:val="32"/>
        </w:rPr>
        <w:t>10. SISTEMA GRÁFICO</w:t>
      </w:r>
    </w:p>
    <w:p>
      <w:pPr>
        <w:spacing w:after="120"/>
      </w:pPr>
      <w:r>
        <w:rPr>
          <w:b w:val="0"/>
          <w:color w:val="0D0D0D"/>
        </w:rPr>
        <w:t>Elementos permitidos: linhas finas douradas, molduras discretas, círculos, setas, matrizes, rodas, mapas, ícones lineares e blocos de contraste.</w:t>
      </w:r>
    </w:p>
    <w:p>
      <w:pPr>
        <w:spacing w:after="120"/>
      </w:pPr>
      <w:r>
        <w:rPr>
          <w:b w:val="0"/>
          <w:color w:val="0D0D0D"/>
        </w:rPr>
        <w:t>Ícones devem compartilhar a mesma família visual. Não misturar ícones 3D, cartoons, emojis e ícones lineares no mesmo sistema.</w:t>
      </w:r>
    </w:p>
    <w:p>
      <w:pPr>
        <w:spacing w:after="120"/>
      </w:pPr>
      <w:r>
        <w:rPr>
          <w:b w:val="0"/>
          <w:color w:val="0D0D0D"/>
        </w:rPr>
        <w:t>Diagramas OCD devem priorizar leitura: conceito → relação → ação. Cor nunca deve ser o único recurso para diferenciar informação.</w:t>
      </w:r>
    </w:p>
    <w:p>
      <w:r>
        <w:br w:type="page"/>
      </w:r>
    </w:p>
    <w:p>
      <w:pPr>
        <w:spacing w:before="280"/>
      </w:pPr>
      <w:r>
        <w:rPr>
          <w:b/>
          <w:color w:val="C99A3D"/>
          <w:sz w:val="32"/>
        </w:rPr>
        <w:t>11. PADRÃO EDITORIAL</w:t>
      </w:r>
    </w:p>
    <w:p>
      <w:pPr>
        <w:spacing w:after="120"/>
      </w:pPr>
      <w:r>
        <w:rPr>
          <w:b w:val="0"/>
          <w:color w:val="0D0D0D"/>
        </w:rPr>
        <w:t>Aparência: livro premium, não documento administrativo.</w:t>
      </w:r>
    </w:p>
    <w:p>
      <w:pPr>
        <w:spacing w:after="120"/>
      </w:pPr>
      <w:r>
        <w:rPr>
          <w:b w:val="0"/>
          <w:color w:val="0D0D0D"/>
        </w:rPr>
        <w:t>Capas: poucos elementos, título dominante, assinatura OCD e autoria clara.</w:t>
      </w:r>
    </w:p>
    <w:p>
      <w:pPr>
        <w:spacing w:after="120"/>
      </w:pPr>
      <w:r>
        <w:rPr>
          <w:b w:val="0"/>
          <w:color w:val="0D0D0D"/>
        </w:rPr>
        <w:t>Miolo: margens generosas, títulos fortes, blocos curtos, boxes para perguntas e ferramentas, dourado apenas para hierarquia.</w:t>
      </w:r>
    </w:p>
    <w:p>
      <w:pPr>
        <w:spacing w:after="120"/>
      </w:pPr>
      <w:r>
        <w:rPr>
          <w:b w:val="0"/>
          <w:color w:val="0D0D0D"/>
        </w:rPr>
        <w:t>Ferramentas: nome oficial + objetivo + instrução + campos de aplicação + fechamento comportamental.</w:t>
      </w:r>
    </w:p>
    <w:p>
      <w:pPr>
        <w:spacing w:after="120"/>
      </w:pPr>
      <w:r>
        <w:rPr>
          <w:b w:val="0"/>
          <w:color w:val="0D0D0D"/>
        </w:rPr>
        <w:t>Devolutivas: leitura → evidência → impacto → pergunta → decisão/CMV.</w:t>
      </w:r>
    </w:p>
    <w:p>
      <w:pPr>
        <w:spacing w:after="120"/>
      </w:pPr>
      <w:r>
        <w:rPr>
          <w:b w:val="0"/>
          <w:color w:val="0D0D0D"/>
        </w:rPr>
        <w:t>Rodapé institucional recomendado: MÉTODO OCD - O COMPORTAMENTO DECIDE | Criado por Saulo Coelho.</w:t>
      </w:r>
    </w:p>
    <w:p>
      <w:pPr>
        <w:spacing w:before="280"/>
      </w:pPr>
      <w:r>
        <w:rPr>
          <w:b/>
          <w:color w:val="C99A3D"/>
          <w:sz w:val="32"/>
        </w:rPr>
        <w:t>12. APRESENTAÇÕES 16:9</w:t>
      </w:r>
    </w:p>
    <w:p>
      <w:pPr>
        <w:spacing w:after="120"/>
      </w:pPr>
      <w:r>
        <w:rPr>
          <w:b w:val="0"/>
          <w:color w:val="0D0D0D"/>
        </w:rPr>
        <w:t>Abertura: marca + título, sem excesso de texto.</w:t>
        <w:br/>
        <w:t>Divisor: conceito central em alta hierarquia.</w:t>
        <w:br/>
        <w:t>Conteúdo: uma ideia principal por slide.</w:t>
        <w:br/>
        <w:t>Ferramenta: estrutura visual simples e aplicável.</w:t>
        <w:br/>
        <w:t>Frase: máximo impacto, grande respiro.</w:t>
        <w:br/>
        <w:t>Encerramento: O COMPORTAMENTO DECIDE + assinatura.</w:t>
      </w:r>
    </w:p>
    <w:p>
      <w:pPr>
        <w:spacing w:after="120"/>
      </w:pPr>
      <w:r>
        <w:rPr>
          <w:b w:val="0"/>
          <w:color w:val="0D0D0D"/>
        </w:rPr>
        <w:t>Evitar reproduzir páginas de apostila em slides. Se o texto não pode ser lido confortavelmente à distância, deve ser dividido.</w:t>
      </w:r>
    </w:p>
    <w:p>
      <w:pPr>
        <w:spacing w:before="280"/>
      </w:pPr>
      <w:r>
        <w:rPr>
          <w:b/>
          <w:color w:val="C99A3D"/>
          <w:sz w:val="32"/>
        </w:rPr>
        <w:t>13. REDES SOCIAIS</w:t>
      </w:r>
    </w:p>
    <w:p>
      <w:pPr>
        <w:spacing w:after="120"/>
      </w:pPr>
      <w:r>
        <w:rPr>
          <w:b w:val="0"/>
          <w:color w:val="0D0D0D"/>
        </w:rPr>
        <w:t>Formatos-base: 4:5 para feed/carrossel; 9:16 para Stories/Reels; 16:9 para apresentações e vídeo horizontal.</w:t>
      </w:r>
    </w:p>
    <w:p>
      <w:pPr>
        <w:spacing w:after="120"/>
      </w:pPr>
      <w:r>
        <w:rPr>
          <w:b w:val="0"/>
          <w:color w:val="0D0D0D"/>
        </w:rPr>
        <w:t>Carrossel: capa forte → desenvolvimento → aplicação → decisão/CTA. Manter margens internas amplas e frases integralmente dentro da área segura.</w:t>
      </w:r>
    </w:p>
    <w:p>
      <w:pPr>
        <w:spacing w:after="120"/>
      </w:pPr>
      <w:r>
        <w:rPr>
          <w:b w:val="0"/>
          <w:color w:val="0D0D0D"/>
        </w:rPr>
        <w:t>Posts de frase: uma frase principal, assinatura discreta, sem competir com a mensagem.</w:t>
      </w:r>
    </w:p>
    <w:p>
      <w:pPr>
        <w:spacing w:after="120"/>
      </w:pPr>
      <w:r>
        <w:rPr>
          <w:b w:val="0"/>
          <w:color w:val="0D0D0D"/>
        </w:rPr>
        <w:t>Anúncios: hierarquia sugerida: marca → produto → promessa/tema → data/local → CTA.</w:t>
      </w:r>
    </w:p>
    <w:p>
      <w:pPr>
        <w:spacing w:before="280"/>
      </w:pPr>
      <w:r>
        <w:rPr>
          <w:b/>
          <w:color w:val="C99A3D"/>
          <w:sz w:val="32"/>
        </w:rPr>
        <w:t>14. PADRÃO DE IMAGENS GERADAS POR IA</w:t>
      </w:r>
    </w:p>
    <w:p>
      <w:pPr>
        <w:spacing w:after="120"/>
      </w:pPr>
      <w:r>
        <w:rPr>
          <w:b w:val="0"/>
          <w:color w:val="0D0D0D"/>
        </w:rPr>
        <w:t>Manter coerência de iluminação, preto/dourado, realismo e sobriedade. Não gerar logos aproximadas ou reinterpretadas: a marca oficial deve ser aplicada posteriormente a partir do arquivo-mestre. Revisar rigorosamente ortografia e legibilidade de todo texto gerado em imagem.</w:t>
      </w:r>
    </w:p>
    <w:p>
      <w:r>
        <w:br w:type="page"/>
      </w:r>
    </w:p>
    <w:p>
      <w:pPr>
        <w:spacing w:before="280"/>
      </w:pPr>
      <w:r>
        <w:rPr>
          <w:b/>
          <w:color w:val="C99A3D"/>
          <w:sz w:val="32"/>
        </w:rPr>
        <w:t>15. ARQUITETURA DE FORMAÇÕES</w:t>
      </w:r>
    </w:p>
    <w:p>
      <w:pPr>
        <w:spacing w:after="120"/>
      </w:pPr>
      <w:r>
        <w:rPr>
          <w:b/>
          <w:color w:val="0D0D0D"/>
        </w:rPr>
        <w:t>NÍVEL 1 - FORMAÇÃO PRACTITIONER OCD</w:t>
      </w:r>
    </w:p>
    <w:p>
      <w:pPr>
        <w:spacing w:after="120"/>
      </w:pPr>
      <w:r>
        <w:rPr>
          <w:b w:val="0"/>
          <w:color w:val="0D0D0D"/>
        </w:rPr>
        <w:t>Estrutura de três dias:</w:t>
        <w:br/>
        <w:t>Dia 1 - ENXERGAR O PADRÃO</w:t>
        <w:br/>
        <w:t>Dia 2 - ROMPER O PADRÃO</w:t>
        <w:br/>
        <w:t>Dia 3 - CONSTRUIR E SUSTENTAR O NOVO PADRÃO</w:t>
      </w:r>
    </w:p>
    <w:p>
      <w:pPr>
        <w:spacing w:after="120"/>
      </w:pPr>
      <w:r>
        <w:rPr>
          <w:b/>
          <w:color w:val="0D0D0D"/>
        </w:rPr>
        <w:t>NÍVEL 2 - FORMAÇÃO TREINADOR E TERAPEUTA COMPORTAMENTAL OCD</w:t>
      </w:r>
    </w:p>
    <w:p>
      <w:pPr>
        <w:spacing w:after="120"/>
      </w:pPr>
      <w:r>
        <w:rPr>
          <w:b w:val="0"/>
          <w:color w:val="0D0D0D"/>
        </w:rPr>
        <w:t>O Nível 1 deve ser apresentado como formação completa de entrada no Método, sem ser comunicado como produto incompleto. O Nível 2 representa aprofundamento de atuação, condução e intervenção.</w:t>
      </w:r>
    </w:p>
    <w:p>
      <w:pPr>
        <w:spacing w:before="280"/>
      </w:pPr>
      <w:r>
        <w:rPr>
          <w:b/>
          <w:color w:val="C99A3D"/>
          <w:sz w:val="32"/>
        </w:rPr>
        <w:t>16. FERRAMENTAS E PROPRIEDADE INTELECTUAL</w:t>
      </w:r>
    </w:p>
    <w:p>
      <w:pPr>
        <w:spacing w:after="120"/>
      </w:pPr>
      <w:r>
        <w:rPr>
          <w:b w:val="0"/>
          <w:color w:val="0D0D0D"/>
        </w:rPr>
        <w:t>Ferramentas e estruturas já associadas ao ecossistema OCD incluem, conforme materiais desenvolvidos: PDPA; Matriz da Crença que Decide; Meta Master; Meta SMASTER; Metas HUGGS; CMV - Comportamento Mínimo Viável; Protocolo Se-Então; RPSP; PA360; Líder 360; HERO; Roda da Vida OCD; MAPA OCD; Triângulo da Verdade Comportamental; Radiografia da Crença Decisora; Tribunal das Crenças; Matriz de Decisão Comportamental; Protocolo da Decisão em Aberto; Protocolo 90-30-7-1; Contrato de Comportamento Custoso; Scorecard da Meta Viva; A Morte da Meta Falsa.</w:t>
      </w:r>
    </w:p>
    <w:p>
      <w:pPr>
        <w:spacing w:after="120"/>
      </w:pPr>
      <w:r>
        <w:rPr>
          <w:b w:val="0"/>
          <w:color w:val="0D0D0D"/>
        </w:rPr>
        <w:t>A lista deve ser revisada juridicamente antes de qualquer declaração pública de exclusividade, registro ou proteção marcária.</w:t>
      </w:r>
    </w:p>
    <w:p>
      <w:pPr>
        <w:spacing w:before="280"/>
      </w:pPr>
      <w:r>
        <w:rPr>
          <w:b/>
          <w:color w:val="C99A3D"/>
          <w:sz w:val="32"/>
        </w:rPr>
        <w:t>Regra para novas ferramentas</w:t>
      </w:r>
    </w:p>
    <w:p>
      <w:pPr>
        <w:spacing w:after="120"/>
      </w:pPr>
      <w:r>
        <w:rPr>
          <w:b w:val="0"/>
          <w:color w:val="0D0D0D"/>
        </w:rPr>
        <w:t>Nome curto e memorável; função comportamental clara; linguagem coerente com o Método; possibilidade de representação visual; instrução aplicável; resultado observável; fechamento em decisão ou comportamento.</w:t>
      </w:r>
    </w:p>
    <w:p>
      <w:pPr>
        <w:spacing w:before="280"/>
      </w:pPr>
      <w:r>
        <w:rPr>
          <w:b/>
          <w:color w:val="C99A3D"/>
          <w:sz w:val="32"/>
        </w:rPr>
        <w:t>17. NOMENCLATURA</w:t>
      </w:r>
    </w:p>
    <w:p>
      <w:pPr>
        <w:spacing w:after="120"/>
      </w:pPr>
      <w:r>
        <w:rPr>
          <w:b w:val="0"/>
          <w:color w:val="0D0D0D"/>
        </w:rPr>
        <w:t>Preferir nomes que expressem ação, diagnóstico ou transformação. Evitar nomes genéricos que poderiam pertencer a qualquer metodologia.</w:t>
      </w:r>
    </w:p>
    <w:p>
      <w:pPr>
        <w:spacing w:after="120"/>
      </w:pPr>
      <w:r>
        <w:rPr>
          <w:b w:val="0"/>
          <w:color w:val="0D0D0D"/>
        </w:rPr>
        <w:t>Quando a ferramenta for proprietária do ecossistema, usar 'Método OCD' ou 'OCD' na assinatura editorial sem poluir o nome principal.</w:t>
      </w:r>
    </w:p>
    <w:p>
      <w:pPr>
        <w:spacing w:before="280"/>
      </w:pPr>
      <w:r>
        <w:rPr>
          <w:b/>
          <w:color w:val="C99A3D"/>
          <w:sz w:val="32"/>
        </w:rPr>
        <w:t>18. EVENTOS E MATERIAIS FÍSICOS</w:t>
      </w:r>
    </w:p>
    <w:p>
      <w:pPr>
        <w:spacing w:after="120"/>
      </w:pPr>
      <w:r>
        <w:rPr>
          <w:b w:val="0"/>
          <w:color w:val="0D0D0D"/>
        </w:rPr>
        <w:t>Backdrops, crachás, certificados, camisetas, apostilas e sinalização devem utilizar a mesma hierarquia visual. O evento pode ter linguagem promocional mais dramática; materiais de aprendizagem devem voltar ao sistema editorial limpo.</w:t>
      </w:r>
    </w:p>
    <w:p>
      <w:pPr>
        <w:spacing w:after="120"/>
      </w:pPr>
      <w:r>
        <w:rPr>
          <w:b w:val="0"/>
          <w:color w:val="0D0D0D"/>
        </w:rPr>
        <w:t>Certificados: nome oficial da formação, participante, carga horária quando aplicável, data, assinaturas e credenciais somente quando formalmente válidas.</w:t>
      </w:r>
    </w:p>
    <w:p>
      <w:r>
        <w:br w:type="page"/>
      </w:r>
    </w:p>
    <w:p>
      <w:pPr>
        <w:spacing w:before="280"/>
      </w:pPr>
      <w:r>
        <w:rPr>
          <w:b/>
          <w:color w:val="C99A3D"/>
          <w:sz w:val="32"/>
        </w:rPr>
        <w:t>19. CHECKLIST DE APROVAÇÃO</w:t>
      </w:r>
    </w:p>
    <w:p>
      <w:pPr>
        <w:spacing w:after="120"/>
      </w:pPr>
      <w:r>
        <w:rPr>
          <w:b w:val="0"/>
          <w:color w:val="0D0D0D"/>
        </w:rPr>
        <w:t>□ A marca oficial foi aplicada sem alteração?</w:t>
      </w:r>
    </w:p>
    <w:p>
      <w:pPr>
        <w:spacing w:after="120"/>
      </w:pPr>
      <w:r>
        <w:rPr>
          <w:b w:val="0"/>
          <w:color w:val="0D0D0D"/>
        </w:rPr>
        <w:t>□ O nome Método OCD e a autoria estão corretos?</w:t>
      </w:r>
    </w:p>
    <w:p>
      <w:pPr>
        <w:spacing w:after="120"/>
      </w:pPr>
      <w:r>
        <w:rPr>
          <w:b w:val="0"/>
          <w:color w:val="0D0D0D"/>
        </w:rPr>
        <w:t>□ A peça parece pertencer ao mesmo universo visual?</w:t>
      </w:r>
    </w:p>
    <w:p>
      <w:pPr>
        <w:spacing w:after="120"/>
      </w:pPr>
      <w:r>
        <w:rPr>
          <w:b w:val="0"/>
          <w:color w:val="0D0D0D"/>
        </w:rPr>
        <w:t>□ A mensagem está centrada em comportamento, decisão, padrão ou sustentação quando pertinente?</w:t>
      </w:r>
    </w:p>
    <w:p>
      <w:pPr>
        <w:spacing w:after="120"/>
      </w:pPr>
      <w:r>
        <w:rPr>
          <w:b w:val="0"/>
          <w:color w:val="0D0D0D"/>
        </w:rPr>
        <w:t>□ O texto está legível no formato final?</w:t>
      </w:r>
    </w:p>
    <w:p>
      <w:pPr>
        <w:spacing w:after="120"/>
      </w:pPr>
      <w:r>
        <w:rPr>
          <w:b w:val="0"/>
          <w:color w:val="0D0D0D"/>
        </w:rPr>
        <w:t>□ As fontes seguem a hierarquia oficial?</w:t>
      </w:r>
    </w:p>
    <w:p>
      <w:pPr>
        <w:spacing w:after="120"/>
      </w:pPr>
      <w:r>
        <w:rPr>
          <w:b w:val="0"/>
          <w:color w:val="0D0D0D"/>
        </w:rPr>
        <w:t>□ As cores estão dentro da paleta?</w:t>
      </w:r>
    </w:p>
    <w:p>
      <w:pPr>
        <w:spacing w:after="120"/>
      </w:pPr>
      <w:r>
        <w:rPr>
          <w:b w:val="0"/>
          <w:color w:val="0D0D0D"/>
        </w:rPr>
        <w:t>□ O dourado está sendo usado como destaque, não como excesso?</w:t>
      </w:r>
    </w:p>
    <w:p>
      <w:pPr>
        <w:spacing w:after="120"/>
      </w:pPr>
      <w:r>
        <w:rPr>
          <w:b w:val="0"/>
          <w:color w:val="0D0D0D"/>
        </w:rPr>
        <w:t>□ Há espaço negativo suficiente?</w:t>
      </w:r>
    </w:p>
    <w:p>
      <w:pPr>
        <w:spacing w:after="120"/>
      </w:pPr>
      <w:r>
        <w:rPr>
          <w:b w:val="0"/>
          <w:color w:val="0D0D0D"/>
        </w:rPr>
        <w:t>□ Imagens e ícones têm o mesmo nível de sofisticação?</w:t>
      </w:r>
    </w:p>
    <w:p>
      <w:pPr>
        <w:spacing w:after="120"/>
      </w:pPr>
      <w:r>
        <w:rPr>
          <w:b w:val="0"/>
          <w:color w:val="0D0D0D"/>
        </w:rPr>
        <w:t>□ Não há promessas absolutas ou linguagem incompatível com o posicionamento?</w:t>
      </w:r>
    </w:p>
    <w:p>
      <w:pPr>
        <w:spacing w:after="120"/>
      </w:pPr>
      <w:r>
        <w:rPr>
          <w:b w:val="0"/>
          <w:color w:val="0D0D0D"/>
        </w:rPr>
        <w:t>□ Ferramentas e nomes oficiais foram escritos corretamente?</w:t>
      </w:r>
    </w:p>
    <w:p>
      <w:pPr>
        <w:spacing w:after="120"/>
      </w:pPr>
      <w:r>
        <w:rPr>
          <w:b w:val="0"/>
          <w:color w:val="0D0D0D"/>
        </w:rPr>
        <w:t>□ Datas, locais, certificações e credenciais foram conferidos?</w:t>
      </w:r>
    </w:p>
    <w:p>
      <w:pPr>
        <w:spacing w:after="120"/>
      </w:pPr>
      <w:r>
        <w:rPr>
          <w:b w:val="0"/>
          <w:color w:val="0D0D0D"/>
        </w:rPr>
        <w:t>□ A peça conduz a uma ação clara?</w:t>
      </w:r>
    </w:p>
    <w:p>
      <w:pPr>
        <w:spacing w:before="280"/>
      </w:pPr>
      <w:r>
        <w:rPr>
          <w:b/>
          <w:color w:val="C99A3D"/>
          <w:sz w:val="32"/>
        </w:rPr>
        <w:t>20. MATRIZ RÁPIDA POR CANAL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CANAL</w:t>
            </w:r>
          </w:p>
        </w:tc>
        <w:tc>
          <w:tcPr>
            <w:tcW w:type="dxa" w:w="2520"/>
          </w:tcPr>
          <w:p>
            <w:r>
              <w:t>BASE</w:t>
            </w:r>
          </w:p>
        </w:tc>
        <w:tc>
          <w:tcPr>
            <w:tcW w:type="dxa" w:w="2520"/>
          </w:tcPr>
          <w:p>
            <w:r>
              <w:t>TIPOGRAFIA</w:t>
            </w:r>
          </w:p>
        </w:tc>
        <w:tc>
          <w:tcPr>
            <w:tcW w:type="dxa" w:w="2520"/>
          </w:tcPr>
          <w:p>
            <w:r>
              <w:t>ESTILO</w:t>
            </w:r>
          </w:p>
        </w:tc>
      </w:tr>
      <w:tr>
        <w:tc>
          <w:tcPr>
            <w:tcW w:type="dxa" w:w="2520"/>
          </w:tcPr>
          <w:p>
            <w:r>
              <w:t>Instagram 4:5</w:t>
            </w:r>
          </w:p>
        </w:tc>
        <w:tc>
          <w:tcPr>
            <w:tcW w:type="dxa" w:w="2520"/>
          </w:tcPr>
          <w:p>
            <w:r>
              <w:t>Preto/dourado ou off-white</w:t>
            </w:r>
          </w:p>
        </w:tc>
        <w:tc>
          <w:tcPr>
            <w:tcW w:type="dxa" w:w="2520"/>
          </w:tcPr>
          <w:p>
            <w:r>
              <w:t>Montserrat</w:t>
            </w:r>
          </w:p>
        </w:tc>
        <w:tc>
          <w:tcPr>
            <w:tcW w:type="dxa" w:w="2520"/>
          </w:tcPr>
          <w:p>
            <w:r>
              <w:t>Impacto + legibilidade</w:t>
            </w:r>
          </w:p>
        </w:tc>
      </w:tr>
      <w:tr>
        <w:tc>
          <w:tcPr>
            <w:tcW w:type="dxa" w:w="2520"/>
          </w:tcPr>
          <w:p>
            <w:r>
              <w:t>Stories/Reels 9:16</w:t>
            </w:r>
          </w:p>
        </w:tc>
        <w:tc>
          <w:tcPr>
            <w:tcW w:type="dxa" w:w="2520"/>
          </w:tcPr>
          <w:p>
            <w:r>
              <w:t>Preto/dourado</w:t>
            </w:r>
          </w:p>
        </w:tc>
        <w:tc>
          <w:tcPr>
            <w:tcW w:type="dxa" w:w="2520"/>
          </w:tcPr>
          <w:p>
            <w:r>
              <w:t>Montserrat</w:t>
            </w:r>
          </w:p>
        </w:tc>
        <w:tc>
          <w:tcPr>
            <w:tcW w:type="dxa" w:w="2520"/>
          </w:tcPr>
          <w:p>
            <w:r>
              <w:t>Pouco texto + movimento</w:t>
            </w:r>
          </w:p>
        </w:tc>
      </w:tr>
      <w:tr>
        <w:tc>
          <w:tcPr>
            <w:tcW w:type="dxa" w:w="2520"/>
          </w:tcPr>
          <w:p>
            <w:r>
              <w:t>Slides 16:9</w:t>
            </w:r>
          </w:p>
        </w:tc>
        <w:tc>
          <w:tcPr>
            <w:tcW w:type="dxa" w:w="2520"/>
          </w:tcPr>
          <w:p>
            <w:r>
              <w:t>Off-white/preto/dourado</w:t>
            </w:r>
          </w:p>
        </w:tc>
        <w:tc>
          <w:tcPr>
            <w:tcW w:type="dxa" w:w="2520"/>
          </w:tcPr>
          <w:p>
            <w:r>
              <w:t>Montserrat</w:t>
            </w:r>
          </w:p>
        </w:tc>
        <w:tc>
          <w:tcPr>
            <w:tcW w:type="dxa" w:w="2520"/>
          </w:tcPr>
          <w:p>
            <w:r>
              <w:t>Didático e limpo</w:t>
            </w:r>
          </w:p>
        </w:tc>
      </w:tr>
      <w:tr>
        <w:tc>
          <w:tcPr>
            <w:tcW w:type="dxa" w:w="2520"/>
          </w:tcPr>
          <w:p>
            <w:r>
              <w:t>Livro/Apostila</w:t>
            </w:r>
          </w:p>
        </w:tc>
        <w:tc>
          <w:tcPr>
            <w:tcW w:type="dxa" w:w="2520"/>
          </w:tcPr>
          <w:p>
            <w:r>
              <w:t>Off-white</w:t>
            </w:r>
          </w:p>
        </w:tc>
        <w:tc>
          <w:tcPr>
            <w:tcW w:type="dxa" w:w="2520"/>
          </w:tcPr>
          <w:p>
            <w:r>
              <w:t>Montserrat + Cormorant</w:t>
            </w:r>
          </w:p>
        </w:tc>
        <w:tc>
          <w:tcPr>
            <w:tcW w:type="dxa" w:w="2520"/>
          </w:tcPr>
          <w:p>
            <w:r>
              <w:t>Editorial premium</w:t>
            </w:r>
          </w:p>
        </w:tc>
      </w:tr>
      <w:tr>
        <w:tc>
          <w:tcPr>
            <w:tcW w:type="dxa" w:w="2520"/>
          </w:tcPr>
          <w:p>
            <w:r>
              <w:t>Diagnóstico</w:t>
            </w:r>
          </w:p>
        </w:tc>
        <w:tc>
          <w:tcPr>
            <w:tcW w:type="dxa" w:w="2520"/>
          </w:tcPr>
          <w:p>
            <w:r>
              <w:t>Branco/off-white</w:t>
            </w:r>
          </w:p>
        </w:tc>
        <w:tc>
          <w:tcPr>
            <w:tcW w:type="dxa" w:w="2520"/>
          </w:tcPr>
          <w:p>
            <w:r>
              <w:t>Montserrat</w:t>
            </w:r>
          </w:p>
        </w:tc>
        <w:tc>
          <w:tcPr>
            <w:tcW w:type="dxa" w:w="2520"/>
          </w:tcPr>
          <w:p>
            <w:r>
              <w:t>Funcional e claro</w:t>
            </w:r>
          </w:p>
        </w:tc>
      </w:tr>
      <w:tr>
        <w:tc>
          <w:tcPr>
            <w:tcW w:type="dxa" w:w="2520"/>
          </w:tcPr>
          <w:p>
            <w:r>
              <w:t>Evento</w:t>
            </w:r>
          </w:p>
        </w:tc>
        <w:tc>
          <w:tcPr>
            <w:tcW w:type="dxa" w:w="2520"/>
          </w:tcPr>
          <w:p>
            <w:r>
              <w:t>Preto/dourado</w:t>
            </w:r>
          </w:p>
        </w:tc>
        <w:tc>
          <w:tcPr>
            <w:tcW w:type="dxa" w:w="2520"/>
          </w:tcPr>
          <w:p>
            <w:r>
              <w:t>Montserrat</w:t>
            </w:r>
          </w:p>
        </w:tc>
        <w:tc>
          <w:tcPr>
            <w:tcW w:type="dxa" w:w="2520"/>
          </w:tcPr>
          <w:p>
            <w:r>
              <w:t>Cinematográfico/premium</w:t>
            </w:r>
          </w:p>
        </w:tc>
      </w:tr>
    </w:tbl>
    <w:p>
      <w:r>
        <w:br w:type="page"/>
      </w:r>
    </w:p>
    <w:p>
      <w:pPr>
        <w:spacing w:before="1600"/>
        <w:jc w:val="center"/>
      </w:pPr>
      <w:r>
        <w:rPr>
          <w:rFonts w:ascii="Montserrat" w:hAnsi="Montserrat"/>
          <w:b/>
          <w:color w:val="0D0D0D"/>
          <w:sz w:val="56"/>
        </w:rPr>
        <w:t>O COMPORTAMENTO DECIDE.</w:t>
      </w:r>
    </w:p>
    <w:p>
      <w:pPr>
        <w:spacing w:after="120"/>
      </w:pPr>
      <w:r>
        <w:rPr>
          <w:b w:val="0"/>
          <w:color w:val="0D0D0D"/>
        </w:rPr>
        <w:t>Conhecimento pode ampliar a consciência. Decisão pode mudar a direção. Mas é o comportamento sustentado que transforma o resultado.</w:t>
      </w:r>
    </w:p>
    <w:p>
      <w:pPr>
        <w:spacing w:after="120"/>
      </w:pPr>
      <w:r>
        <w:rPr>
          <w:b/>
          <w:color w:val="0D0D0D"/>
        </w:rPr>
        <w:t>Saulo Coelho</w:t>
      </w:r>
    </w:p>
    <w:p>
      <w:pPr>
        <w:spacing w:after="120"/>
      </w:pPr>
      <w:r>
        <w:rPr>
          <w:b w:val="0"/>
          <w:color w:val="0D0D0D"/>
        </w:rPr>
        <w:t>Criador do Método OCD®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