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31656" w:rsidRDefault="007747AD">
      <w:pPr>
        <w:pStyle w:val="Heading1"/>
        <w:ind w:left="-5"/>
      </w:pPr>
      <w:r>
        <w:t>Phase 2: Org Setup &amp; Configuration</w:t>
      </w:r>
      <w:r>
        <w:t xml:space="preserve"> </w:t>
      </w:r>
      <w:r>
        <w:rPr>
          <w:rFonts w:ascii="Segoe UI Emoji" w:eastAsia="Segoe UI Emoji" w:hAnsi="Segoe UI Emoji" w:cs="Segoe UI Emoji"/>
          <w:b w:val="0"/>
        </w:rPr>
        <w:t xml:space="preserve"> </w:t>
      </w:r>
      <w:r>
        <w:rPr>
          <w:rFonts w:ascii="Segoe UI Emoji" w:eastAsia="Segoe UI Emoji" w:hAnsi="Segoe UI Emoji" w:cs="Segoe UI Emoji"/>
          <w:b w:val="0"/>
          <w:color w:val="0078D7"/>
        </w:rPr>
        <w:t xml:space="preserve"> </w:t>
      </w:r>
      <w:r>
        <w:t xml:space="preserve"> Salesforce Editions</w:t>
      </w:r>
      <w:r>
        <w:t xml:space="preserve"> </w:t>
      </w:r>
    </w:p>
    <w:p w:rsidR="00531656" w:rsidRDefault="007747AD">
      <w:pPr>
        <w:spacing w:after="201"/>
        <w:ind w:left="782" w:right="858"/>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The Student/Developer Edition is used to build the Community Health &amp; Donation Tracking system. It offers core CRM features like custom objects for Patients, Donations, and Campaigns, plus automation via Flows. Though limited compared to Enterprise, it all</w:t>
      </w:r>
      <w:r>
        <w:t xml:space="preserve">ows sufficient customization, reports, and dashboards to demonstrate </w:t>
      </w:r>
      <w:proofErr w:type="spellStart"/>
      <w:r>
        <w:t>nonprofit</w:t>
      </w:r>
      <w:proofErr w:type="spellEnd"/>
      <w:r>
        <w:t xml:space="preserve"> healthcare impact.</w:t>
      </w:r>
      <w:r>
        <w:t xml:space="preserve"> </w:t>
      </w:r>
    </w:p>
    <w:p w:rsidR="00531656" w:rsidRDefault="007747AD">
      <w:pPr>
        <w:spacing w:after="202" w:line="259" w:lineRule="auto"/>
        <w:ind w:left="787" w:right="0" w:firstLine="0"/>
      </w:pPr>
      <w:r>
        <w:rPr>
          <w:b/>
          <w:sz w:val="32"/>
        </w:rPr>
        <w:t xml:space="preserve"> </w:t>
      </w:r>
    </w:p>
    <w:p w:rsidR="00531656" w:rsidRDefault="007747AD">
      <w:pPr>
        <w:pStyle w:val="Heading1"/>
        <w:ind w:left="-5"/>
      </w:pPr>
      <w:r>
        <w:rPr>
          <w:rFonts w:ascii="Segoe UI Emoji" w:eastAsia="Segoe UI Emoji" w:hAnsi="Segoe UI Emoji" w:cs="Segoe UI Emoji"/>
          <w:b w:val="0"/>
        </w:rPr>
        <w:t xml:space="preserve"> </w:t>
      </w:r>
      <w:r>
        <w:rPr>
          <w:rFonts w:ascii="Segoe UI Emoji" w:eastAsia="Segoe UI Emoji" w:hAnsi="Segoe UI Emoji" w:cs="Segoe UI Emoji"/>
          <w:b w:val="0"/>
          <w:color w:val="0078D7"/>
        </w:rPr>
        <w:t xml:space="preserve"> </w:t>
      </w:r>
      <w:r>
        <w:t xml:space="preserve"> Company Profile Setup</w:t>
      </w:r>
      <w:r>
        <w:t xml:space="preserve"> </w:t>
      </w:r>
    </w:p>
    <w:p w:rsidR="00531656" w:rsidRDefault="007747AD">
      <w:pPr>
        <w:spacing w:after="198"/>
        <w:ind w:left="782" w:right="858"/>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The company profile defines organization settings for the </w:t>
      </w:r>
      <w:proofErr w:type="spellStart"/>
      <w:r>
        <w:t>nonprofit</w:t>
      </w:r>
      <w:proofErr w:type="spellEnd"/>
      <w:r>
        <w:t xml:space="preserve"> healthcare initiative. It stores details like organization</w:t>
      </w:r>
      <w:r>
        <w:t xml:space="preserve"> name, primary contact, default time zone, and currency for donation tracking. Configuring this ensures all patient records, donation amounts, and campaign activities align with consistent organizational metadata and reporting standards across the project.</w:t>
      </w:r>
      <w:r>
        <w:t xml:space="preserve"> </w:t>
      </w:r>
    </w:p>
    <w:p w:rsidR="00531656" w:rsidRDefault="007747AD">
      <w:pPr>
        <w:spacing w:after="201" w:line="259" w:lineRule="auto"/>
        <w:ind w:left="787" w:right="0" w:firstLine="0"/>
      </w:pPr>
      <w:r>
        <w:rPr>
          <w:b/>
          <w:sz w:val="32"/>
        </w:rPr>
        <w:t xml:space="preserve"> </w:t>
      </w:r>
    </w:p>
    <w:p w:rsidR="00531656" w:rsidRDefault="007747AD">
      <w:pPr>
        <w:pStyle w:val="Heading1"/>
        <w:ind w:left="-5"/>
      </w:pPr>
      <w:r>
        <w:rPr>
          <w:rFonts w:ascii="Segoe UI Emoji" w:eastAsia="Segoe UI Emoji" w:hAnsi="Segoe UI Emoji" w:cs="Segoe UI Emoji"/>
          <w:b w:val="0"/>
        </w:rPr>
        <w:t xml:space="preserve"> </w:t>
      </w:r>
      <w:r>
        <w:rPr>
          <w:rFonts w:ascii="Segoe UI Emoji" w:eastAsia="Segoe UI Emoji" w:hAnsi="Segoe UI Emoji" w:cs="Segoe UI Emoji"/>
          <w:b w:val="0"/>
          <w:color w:val="0078D7"/>
        </w:rPr>
        <w:t xml:space="preserve"> </w:t>
      </w:r>
      <w:r>
        <w:t xml:space="preserve"> Business Hours &amp; Holidays</w:t>
      </w:r>
      <w:r>
        <w:t xml:space="preserve"> </w:t>
      </w:r>
    </w:p>
    <w:p w:rsidR="00531656" w:rsidRDefault="007747AD">
      <w:pPr>
        <w:ind w:left="782" w:right="858"/>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Business hours define when healthcare workers and volunteers are active. Holidays identify days when campaigns or donation services pause. For example, clinic working hours can be set for reporting response times. Confi</w:t>
      </w:r>
      <w:r>
        <w:t>guring this helps align donor service, patient care follow-ups, and automated communication with actual operational availability.</w:t>
      </w:r>
      <w:r>
        <w:t xml:space="preserve"> </w:t>
      </w:r>
    </w:p>
    <w:p w:rsidR="00531656" w:rsidRDefault="007747AD">
      <w:pPr>
        <w:spacing w:after="166" w:line="259" w:lineRule="auto"/>
        <w:ind w:left="0" w:right="25" w:firstLine="0"/>
        <w:jc w:val="right"/>
      </w:pPr>
      <w:r>
        <w:rPr>
          <w:noProof/>
        </w:rPr>
        <w:lastRenderedPageBreak/>
        <w:drawing>
          <wp:inline distT="0" distB="0" distL="0" distR="0">
            <wp:extent cx="5722498" cy="3218810"/>
            <wp:effectExtent l="0" t="0" r="0" b="0"/>
            <wp:docPr id="71" name="Picture 7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4"/>
                    <a:stretch>
                      <a:fillRect/>
                    </a:stretch>
                  </pic:blipFill>
                  <pic:spPr>
                    <a:xfrm>
                      <a:off x="0" y="0"/>
                      <a:ext cx="5722498" cy="3218810"/>
                    </a:xfrm>
                    <a:prstGeom prst="rect">
                      <a:avLst/>
                    </a:prstGeom>
                  </pic:spPr>
                </pic:pic>
              </a:graphicData>
            </a:graphic>
          </wp:inline>
        </w:drawing>
      </w:r>
      <w:r>
        <w:rPr>
          <w:b/>
        </w:rPr>
        <w:t xml:space="preserve"> </w:t>
      </w:r>
    </w:p>
    <w:p w:rsidR="00531656" w:rsidRDefault="007747AD">
      <w:pPr>
        <w:pStyle w:val="Heading1"/>
        <w:ind w:left="-5"/>
      </w:pPr>
      <w:r>
        <w:rPr>
          <w:rFonts w:ascii="Segoe UI Emoji" w:eastAsia="Segoe UI Emoji" w:hAnsi="Segoe UI Emoji" w:cs="Segoe UI Emoji"/>
          <w:b w:val="0"/>
        </w:rPr>
        <w:t xml:space="preserve"> </w:t>
      </w:r>
      <w:r>
        <w:rPr>
          <w:rFonts w:ascii="Segoe UI Emoji" w:eastAsia="Segoe UI Emoji" w:hAnsi="Segoe UI Emoji" w:cs="Segoe UI Emoji"/>
          <w:b w:val="0"/>
          <w:color w:val="0078D7"/>
        </w:rPr>
        <w:t xml:space="preserve"> </w:t>
      </w:r>
      <w:r>
        <w:t xml:space="preserve"> Fiscal Year Settings</w:t>
      </w:r>
      <w:r>
        <w:t xml:space="preserve"> </w:t>
      </w:r>
    </w:p>
    <w:p w:rsidR="00531656" w:rsidRDefault="007747AD">
      <w:pPr>
        <w:ind w:left="782" w:right="858"/>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Fiscal year settings standardize how donations and patient program outcomes are tracked financ</w:t>
      </w:r>
      <w:r>
        <w:t xml:space="preserve">ially. A custom fiscal year can be defined if </w:t>
      </w:r>
      <w:proofErr w:type="spellStart"/>
      <w:r>
        <w:t>nonprofit</w:t>
      </w:r>
      <w:proofErr w:type="spellEnd"/>
      <w:r>
        <w:t xml:space="preserve"> funding cycles differ from the calendar year. Aligning fiscal periods helps report total donations, resource allocation, and healthcare program performance in meaningful time-bound comparisons for sta</w:t>
      </w:r>
      <w:r>
        <w:t>keholders.</w:t>
      </w:r>
      <w:r>
        <w:t xml:space="preserve"> </w:t>
      </w:r>
    </w:p>
    <w:p w:rsidR="00531656" w:rsidRDefault="007747AD" w:rsidP="007747AD">
      <w:pPr>
        <w:spacing w:after="0" w:line="259" w:lineRule="auto"/>
        <w:ind w:left="0" w:right="0" w:firstLine="0"/>
        <w:jc w:val="right"/>
      </w:pPr>
      <w:r>
        <w:rPr>
          <w:noProof/>
        </w:rPr>
        <w:drawing>
          <wp:inline distT="0" distB="0" distL="0" distR="0">
            <wp:extent cx="5731520" cy="3223899"/>
            <wp:effectExtent l="0" t="0" r="0" b="0"/>
            <wp:docPr id="73" name="Picture 73"/>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5"/>
                    <a:stretch>
                      <a:fillRect/>
                    </a:stretch>
                  </pic:blipFill>
                  <pic:spPr>
                    <a:xfrm>
                      <a:off x="0" y="0"/>
                      <a:ext cx="5731520" cy="3223899"/>
                    </a:xfrm>
                    <a:prstGeom prst="rect">
                      <a:avLst/>
                    </a:prstGeom>
                  </pic:spPr>
                </pic:pic>
              </a:graphicData>
            </a:graphic>
          </wp:inline>
        </w:drawing>
      </w:r>
      <w:bookmarkStart w:id="0" w:name="_GoBack"/>
      <w:bookmarkEnd w:id="0"/>
      <w:r>
        <w:rPr>
          <w:b/>
          <w:sz w:val="32"/>
        </w:rPr>
        <w:t xml:space="preserve"> </w:t>
      </w:r>
      <w:r>
        <w:rPr>
          <w:rFonts w:ascii="Segoe UI Emoji" w:eastAsia="Segoe UI Emoji" w:hAnsi="Segoe UI Emoji" w:cs="Segoe UI Emoji"/>
          <w:sz w:val="32"/>
        </w:rPr>
        <w:t xml:space="preserve"> </w:t>
      </w:r>
    </w:p>
    <w:p w:rsidR="00531656" w:rsidRDefault="007747AD">
      <w:pPr>
        <w:pStyle w:val="Heading1"/>
        <w:ind w:left="-5"/>
      </w:pPr>
      <w:r>
        <w:rPr>
          <w:rFonts w:ascii="Segoe UI Emoji" w:eastAsia="Segoe UI Emoji" w:hAnsi="Segoe UI Emoji" w:cs="Segoe UI Emoji"/>
          <w:b w:val="0"/>
        </w:rPr>
        <w:lastRenderedPageBreak/>
        <w:t xml:space="preserve"> </w:t>
      </w:r>
      <w:r>
        <w:rPr>
          <w:rFonts w:ascii="Segoe UI Emoji" w:eastAsia="Segoe UI Emoji" w:hAnsi="Segoe UI Emoji" w:cs="Segoe UI Emoji"/>
          <w:b w:val="0"/>
          <w:color w:val="0078D7"/>
        </w:rPr>
        <w:t xml:space="preserve"> </w:t>
      </w:r>
      <w:r>
        <w:t xml:space="preserve"> Profiles</w:t>
      </w:r>
      <w:r>
        <w:t xml:space="preserve"> </w:t>
      </w:r>
    </w:p>
    <w:p w:rsidR="00531656" w:rsidRDefault="007747AD">
      <w:pPr>
        <w:ind w:left="782" w:right="858"/>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Profiles control what each user can do within the system. For example, healthcare staff may edit Patient records but only view Donations. Donor-facing profiles might access dashboards without editing rights. Custom profiles ensure sensitive health and dona</w:t>
      </w:r>
      <w:r>
        <w:t>tion data is protected while allowing efficient management of records relevant to each role.</w:t>
      </w:r>
      <w:r>
        <w:t xml:space="preserve"> </w:t>
      </w:r>
    </w:p>
    <w:p w:rsidR="00531656" w:rsidRDefault="007747AD">
      <w:pPr>
        <w:spacing w:after="119" w:line="259" w:lineRule="auto"/>
        <w:ind w:left="0" w:right="787" w:firstLine="0"/>
        <w:jc w:val="right"/>
      </w:pPr>
      <w:r>
        <w:rPr>
          <w:noProof/>
        </w:rPr>
        <w:drawing>
          <wp:inline distT="0" distB="0" distL="0" distR="0">
            <wp:extent cx="5731520" cy="3223900"/>
            <wp:effectExtent l="0" t="0" r="0" b="0"/>
            <wp:docPr id="126" name="Picture 126"/>
            <wp:cNvGraphicFramePr/>
            <a:graphic xmlns:a="http://schemas.openxmlformats.org/drawingml/2006/main">
              <a:graphicData uri="http://schemas.openxmlformats.org/drawingml/2006/picture">
                <pic:pic xmlns:pic="http://schemas.openxmlformats.org/drawingml/2006/picture">
                  <pic:nvPicPr>
                    <pic:cNvPr id="126" name="Picture 126"/>
                    <pic:cNvPicPr/>
                  </pic:nvPicPr>
                  <pic:blipFill>
                    <a:blip r:embed="rId6"/>
                    <a:stretch>
                      <a:fillRect/>
                    </a:stretch>
                  </pic:blipFill>
                  <pic:spPr>
                    <a:xfrm>
                      <a:off x="0" y="0"/>
                      <a:ext cx="5731520" cy="3223900"/>
                    </a:xfrm>
                    <a:prstGeom prst="rect">
                      <a:avLst/>
                    </a:prstGeom>
                  </pic:spPr>
                </pic:pic>
              </a:graphicData>
            </a:graphic>
          </wp:inline>
        </w:drawing>
      </w:r>
      <w:r>
        <w:rPr>
          <w:b/>
          <w:sz w:val="32"/>
        </w:rPr>
        <w:t xml:space="preserve"> </w:t>
      </w:r>
    </w:p>
    <w:p w:rsidR="00531656" w:rsidRDefault="007747AD">
      <w:pPr>
        <w:pStyle w:val="Heading1"/>
        <w:ind w:left="-5"/>
      </w:pPr>
      <w:r>
        <w:rPr>
          <w:rFonts w:ascii="Segoe UI Emoji" w:eastAsia="Segoe UI Emoji" w:hAnsi="Segoe UI Emoji" w:cs="Segoe UI Emoji"/>
          <w:b w:val="0"/>
        </w:rPr>
        <w:t xml:space="preserve"> </w:t>
      </w:r>
      <w:r>
        <w:rPr>
          <w:rFonts w:ascii="Segoe UI Emoji" w:eastAsia="Segoe UI Emoji" w:hAnsi="Segoe UI Emoji" w:cs="Segoe UI Emoji"/>
          <w:b w:val="0"/>
          <w:color w:val="0078D7"/>
        </w:rPr>
        <w:t xml:space="preserve"> </w:t>
      </w:r>
      <w:r>
        <w:t xml:space="preserve"> Roles</w:t>
      </w:r>
      <w:r>
        <w:t xml:space="preserve"> </w:t>
      </w:r>
    </w:p>
    <w:p w:rsidR="00531656" w:rsidRDefault="007747AD">
      <w:pPr>
        <w:ind w:left="782" w:right="858"/>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Roles define data visibility in the health and donation system. A hierarchical structure allows managers to view all data while staff only access </w:t>
      </w:r>
      <w:r>
        <w:t>their records. Example: Program Manager sees all patient treatments and donations; volunteers see only patients they served. Roles ensure controlled data visibility with accountability.</w:t>
      </w:r>
      <w:r>
        <w:t xml:space="preserve"> </w:t>
      </w:r>
    </w:p>
    <w:p w:rsidR="00531656" w:rsidRDefault="007747AD">
      <w:pPr>
        <w:spacing w:after="117" w:line="259" w:lineRule="auto"/>
        <w:ind w:left="0" w:right="0" w:firstLine="0"/>
        <w:jc w:val="right"/>
      </w:pPr>
      <w:r>
        <w:rPr>
          <w:noProof/>
        </w:rPr>
        <w:lastRenderedPageBreak/>
        <w:drawing>
          <wp:inline distT="0" distB="0" distL="0" distR="0">
            <wp:extent cx="5731520" cy="3223899"/>
            <wp:effectExtent l="0" t="0" r="0" b="0"/>
            <wp:docPr id="128" name="Picture 128"/>
            <wp:cNvGraphicFramePr/>
            <a:graphic xmlns:a="http://schemas.openxmlformats.org/drawingml/2006/main">
              <a:graphicData uri="http://schemas.openxmlformats.org/drawingml/2006/picture">
                <pic:pic xmlns:pic="http://schemas.openxmlformats.org/drawingml/2006/picture">
                  <pic:nvPicPr>
                    <pic:cNvPr id="128" name="Picture 128"/>
                    <pic:cNvPicPr/>
                  </pic:nvPicPr>
                  <pic:blipFill>
                    <a:blip r:embed="rId7"/>
                    <a:stretch>
                      <a:fillRect/>
                    </a:stretch>
                  </pic:blipFill>
                  <pic:spPr>
                    <a:xfrm>
                      <a:off x="0" y="0"/>
                      <a:ext cx="5731520" cy="3223899"/>
                    </a:xfrm>
                    <a:prstGeom prst="rect">
                      <a:avLst/>
                    </a:prstGeom>
                  </pic:spPr>
                </pic:pic>
              </a:graphicData>
            </a:graphic>
          </wp:inline>
        </w:drawing>
      </w:r>
      <w:r>
        <w:rPr>
          <w:b/>
          <w:sz w:val="32"/>
        </w:rPr>
        <w:t xml:space="preserve"> </w:t>
      </w:r>
    </w:p>
    <w:p w:rsidR="00531656" w:rsidRDefault="007747AD">
      <w:pPr>
        <w:spacing w:after="0" w:line="259" w:lineRule="auto"/>
        <w:ind w:left="0" w:right="0" w:firstLine="0"/>
      </w:pPr>
      <w:r>
        <w:rPr>
          <w:rFonts w:ascii="Segoe UI Emoji" w:eastAsia="Segoe UI Emoji" w:hAnsi="Segoe UI Emoji" w:cs="Segoe UI Emoji"/>
          <w:sz w:val="32"/>
        </w:rPr>
        <w:t xml:space="preserve"> </w:t>
      </w:r>
    </w:p>
    <w:p w:rsidR="00531656" w:rsidRDefault="007747AD">
      <w:pPr>
        <w:pStyle w:val="Heading1"/>
        <w:ind w:left="-5"/>
      </w:pPr>
      <w:r>
        <w:rPr>
          <w:rFonts w:ascii="Segoe UI Emoji" w:eastAsia="Segoe UI Emoji" w:hAnsi="Segoe UI Emoji" w:cs="Segoe UI Emoji"/>
          <w:b w:val="0"/>
        </w:rPr>
        <w:t xml:space="preserve"> </w:t>
      </w:r>
      <w:r>
        <w:rPr>
          <w:rFonts w:ascii="Segoe UI Emoji" w:eastAsia="Segoe UI Emoji" w:hAnsi="Segoe UI Emoji" w:cs="Segoe UI Emoji"/>
          <w:b w:val="0"/>
          <w:color w:val="0078D7"/>
        </w:rPr>
        <w:t xml:space="preserve"> </w:t>
      </w:r>
      <w:r>
        <w:t xml:space="preserve"> Permission Sets</w:t>
      </w:r>
      <w:r>
        <w:t xml:space="preserve"> </w:t>
      </w:r>
    </w:p>
    <w:p w:rsidR="00531656" w:rsidRDefault="007747AD">
      <w:pPr>
        <w:ind w:left="782" w:right="858"/>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Permission sets provide additional access</w:t>
      </w:r>
      <w:r>
        <w:t xml:space="preserve"> without changing profiles. For example, a healthcare volunteer may need temporary access to enter donation records or view campaign dashboards. Assigning permission sets helps extend privileges flexibly, ensuring project scalability. They also allow selec</w:t>
      </w:r>
      <w:r>
        <w:t xml:space="preserve">tive testing of advanced features without </w:t>
      </w:r>
      <w:proofErr w:type="spellStart"/>
      <w:r>
        <w:t>overpermitting</w:t>
      </w:r>
      <w:proofErr w:type="spellEnd"/>
      <w:r>
        <w:t xml:space="preserve"> basic staff profiles.</w:t>
      </w:r>
      <w:r>
        <w:t xml:space="preserve"> </w:t>
      </w:r>
    </w:p>
    <w:p w:rsidR="00531656" w:rsidRDefault="007747AD">
      <w:pPr>
        <w:spacing w:after="117" w:line="259" w:lineRule="auto"/>
        <w:ind w:left="0" w:right="0" w:firstLine="0"/>
        <w:jc w:val="right"/>
      </w:pPr>
      <w:r>
        <w:rPr>
          <w:noProof/>
        </w:rPr>
        <w:drawing>
          <wp:inline distT="0" distB="0" distL="0" distR="0">
            <wp:extent cx="5731520" cy="3223900"/>
            <wp:effectExtent l="0" t="0" r="0" b="0"/>
            <wp:docPr id="172" name="Picture 172"/>
            <wp:cNvGraphicFramePr/>
            <a:graphic xmlns:a="http://schemas.openxmlformats.org/drawingml/2006/main">
              <a:graphicData uri="http://schemas.openxmlformats.org/drawingml/2006/picture">
                <pic:pic xmlns:pic="http://schemas.openxmlformats.org/drawingml/2006/picture">
                  <pic:nvPicPr>
                    <pic:cNvPr id="172" name="Picture 172"/>
                    <pic:cNvPicPr/>
                  </pic:nvPicPr>
                  <pic:blipFill>
                    <a:blip r:embed="rId8"/>
                    <a:stretch>
                      <a:fillRect/>
                    </a:stretch>
                  </pic:blipFill>
                  <pic:spPr>
                    <a:xfrm>
                      <a:off x="0" y="0"/>
                      <a:ext cx="5731520" cy="3223900"/>
                    </a:xfrm>
                    <a:prstGeom prst="rect">
                      <a:avLst/>
                    </a:prstGeom>
                  </pic:spPr>
                </pic:pic>
              </a:graphicData>
            </a:graphic>
          </wp:inline>
        </w:drawing>
      </w:r>
      <w:r>
        <w:rPr>
          <w:b/>
          <w:sz w:val="32"/>
        </w:rPr>
        <w:t xml:space="preserve"> </w:t>
      </w:r>
    </w:p>
    <w:p w:rsidR="00531656" w:rsidRDefault="007747AD">
      <w:pPr>
        <w:spacing w:after="161" w:line="259" w:lineRule="auto"/>
        <w:ind w:left="0" w:right="0" w:firstLine="0"/>
      </w:pPr>
      <w:r>
        <w:rPr>
          <w:rFonts w:ascii="Segoe UI Emoji" w:eastAsia="Segoe UI Emoji" w:hAnsi="Segoe UI Emoji" w:cs="Segoe UI Emoji"/>
          <w:sz w:val="32"/>
        </w:rPr>
        <w:lastRenderedPageBreak/>
        <w:t xml:space="preserve"> </w:t>
      </w:r>
    </w:p>
    <w:p w:rsidR="00531656" w:rsidRDefault="007747AD">
      <w:pPr>
        <w:pStyle w:val="Heading1"/>
        <w:ind w:left="-5"/>
      </w:pPr>
      <w:r>
        <w:rPr>
          <w:rFonts w:ascii="Segoe UI Emoji" w:eastAsia="Segoe UI Emoji" w:hAnsi="Segoe UI Emoji" w:cs="Segoe UI Emoji"/>
          <w:b w:val="0"/>
        </w:rPr>
        <w:t xml:space="preserve"> </w:t>
      </w:r>
      <w:r>
        <w:rPr>
          <w:rFonts w:ascii="Segoe UI Emoji" w:eastAsia="Segoe UI Emoji" w:hAnsi="Segoe UI Emoji" w:cs="Segoe UI Emoji"/>
          <w:b w:val="0"/>
          <w:color w:val="0078D7"/>
        </w:rPr>
        <w:t xml:space="preserve"> </w:t>
      </w:r>
      <w:r>
        <w:t xml:space="preserve"> OWD (Organization-Wide Defaults)</w:t>
      </w:r>
      <w:r>
        <w:t xml:space="preserve"> </w:t>
      </w:r>
    </w:p>
    <w:p w:rsidR="00531656" w:rsidRDefault="007747AD">
      <w:pPr>
        <w:spacing w:after="200"/>
        <w:ind w:left="782" w:right="858"/>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OWD defines baseline record access. </w:t>
      </w:r>
      <w:proofErr w:type="spellStart"/>
      <w:r>
        <w:t>Patient__c</w:t>
      </w:r>
      <w:proofErr w:type="spellEnd"/>
      <w:r>
        <w:t xml:space="preserve"> and </w:t>
      </w:r>
      <w:proofErr w:type="spellStart"/>
      <w:r>
        <w:t>Donation__c</w:t>
      </w:r>
      <w:proofErr w:type="spellEnd"/>
      <w:r>
        <w:t xml:space="preserve"> objects can be set as Private to protect sensitive data. Campaigns m</w:t>
      </w:r>
      <w:r>
        <w:t>ay be Public Read-Only for broader access. This ensures donor, patient, and program data are secure by default, with visibility extended only through roles and sharing rules where appropriate.</w:t>
      </w:r>
      <w:r>
        <w:t xml:space="preserve"> </w:t>
      </w:r>
    </w:p>
    <w:p w:rsidR="00531656" w:rsidRDefault="007747AD">
      <w:pPr>
        <w:spacing w:after="202" w:line="259" w:lineRule="auto"/>
        <w:ind w:left="787" w:right="0" w:firstLine="0"/>
      </w:pPr>
      <w:r>
        <w:rPr>
          <w:b/>
          <w:sz w:val="32"/>
        </w:rPr>
        <w:t xml:space="preserve"> </w:t>
      </w:r>
    </w:p>
    <w:p w:rsidR="00531656" w:rsidRDefault="007747AD">
      <w:pPr>
        <w:pStyle w:val="Heading1"/>
        <w:ind w:left="-5"/>
      </w:pPr>
      <w:r>
        <w:rPr>
          <w:rFonts w:ascii="Segoe UI Emoji" w:eastAsia="Segoe UI Emoji" w:hAnsi="Segoe UI Emoji" w:cs="Segoe UI Emoji"/>
          <w:b w:val="0"/>
        </w:rPr>
        <w:t xml:space="preserve"> </w:t>
      </w:r>
      <w:r>
        <w:rPr>
          <w:rFonts w:ascii="Segoe UI Emoji" w:eastAsia="Segoe UI Emoji" w:hAnsi="Segoe UI Emoji" w:cs="Segoe UI Emoji"/>
          <w:b w:val="0"/>
          <w:color w:val="0078D7"/>
        </w:rPr>
        <w:t xml:space="preserve"> </w:t>
      </w:r>
      <w:r>
        <w:t xml:space="preserve"> Sharing Rules</w:t>
      </w:r>
      <w:r>
        <w:t xml:space="preserve"> </w:t>
      </w:r>
    </w:p>
    <w:p w:rsidR="00531656" w:rsidRDefault="007747AD">
      <w:pPr>
        <w:ind w:left="782" w:right="858"/>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Sharing rules grant broader access beyond OWD. Example: a donor manager role can be given Read-Only access to </w:t>
      </w:r>
      <w:proofErr w:type="spellStart"/>
      <w:r>
        <w:t>Donation__c</w:t>
      </w:r>
      <w:proofErr w:type="spellEnd"/>
      <w:r>
        <w:t>, while healthcare managers can see linked Patient records. Campaign coordinators may share visibility for program outcomes. Sharing ru</w:t>
      </w:r>
      <w:r>
        <w:t>les balance confidentiality with collaboration by extending controlled data visibility across teams.</w:t>
      </w:r>
      <w:r>
        <w:t xml:space="preserve"> </w:t>
      </w:r>
    </w:p>
    <w:p w:rsidR="00531656" w:rsidRDefault="007747AD">
      <w:pPr>
        <w:spacing w:after="117" w:line="259" w:lineRule="auto"/>
        <w:ind w:left="0" w:right="360" w:firstLine="0"/>
        <w:jc w:val="right"/>
      </w:pPr>
      <w:r>
        <w:rPr>
          <w:noProof/>
        </w:rPr>
        <w:drawing>
          <wp:inline distT="0" distB="0" distL="0" distR="0">
            <wp:extent cx="5731520" cy="3223900"/>
            <wp:effectExtent l="0" t="0" r="0" b="0"/>
            <wp:docPr id="211" name="Picture 211"/>
            <wp:cNvGraphicFramePr/>
            <a:graphic xmlns:a="http://schemas.openxmlformats.org/drawingml/2006/main">
              <a:graphicData uri="http://schemas.openxmlformats.org/drawingml/2006/picture">
                <pic:pic xmlns:pic="http://schemas.openxmlformats.org/drawingml/2006/picture">
                  <pic:nvPicPr>
                    <pic:cNvPr id="211" name="Picture 211"/>
                    <pic:cNvPicPr/>
                  </pic:nvPicPr>
                  <pic:blipFill>
                    <a:blip r:embed="rId9"/>
                    <a:stretch>
                      <a:fillRect/>
                    </a:stretch>
                  </pic:blipFill>
                  <pic:spPr>
                    <a:xfrm>
                      <a:off x="0" y="0"/>
                      <a:ext cx="5731520" cy="3223900"/>
                    </a:xfrm>
                    <a:prstGeom prst="rect">
                      <a:avLst/>
                    </a:prstGeom>
                  </pic:spPr>
                </pic:pic>
              </a:graphicData>
            </a:graphic>
          </wp:inline>
        </w:drawing>
      </w:r>
      <w:r>
        <w:rPr>
          <w:b/>
          <w:sz w:val="32"/>
        </w:rPr>
        <w:t xml:space="preserve"> </w:t>
      </w:r>
    </w:p>
    <w:p w:rsidR="00531656" w:rsidRDefault="007747AD">
      <w:pPr>
        <w:spacing w:after="161" w:line="259" w:lineRule="auto"/>
        <w:ind w:left="0" w:right="0" w:firstLine="0"/>
      </w:pPr>
      <w:r>
        <w:rPr>
          <w:rFonts w:ascii="Segoe UI Emoji" w:eastAsia="Segoe UI Emoji" w:hAnsi="Segoe UI Emoji" w:cs="Segoe UI Emoji"/>
          <w:sz w:val="32"/>
        </w:rPr>
        <w:t xml:space="preserve"> </w:t>
      </w:r>
    </w:p>
    <w:p w:rsidR="00531656" w:rsidRDefault="007747AD">
      <w:pPr>
        <w:spacing w:after="161" w:line="259" w:lineRule="auto"/>
        <w:ind w:left="0" w:right="0" w:firstLine="0"/>
      </w:pPr>
      <w:r>
        <w:rPr>
          <w:rFonts w:ascii="Segoe UI Emoji" w:eastAsia="Segoe UI Emoji" w:hAnsi="Segoe UI Emoji" w:cs="Segoe UI Emoji"/>
          <w:sz w:val="32"/>
        </w:rPr>
        <w:t xml:space="preserve"> </w:t>
      </w:r>
    </w:p>
    <w:p w:rsidR="00531656" w:rsidRDefault="007747AD">
      <w:pPr>
        <w:pStyle w:val="Heading1"/>
        <w:ind w:left="-5"/>
      </w:pPr>
      <w:r>
        <w:rPr>
          <w:rFonts w:ascii="Segoe UI Emoji" w:eastAsia="Segoe UI Emoji" w:hAnsi="Segoe UI Emoji" w:cs="Segoe UI Emoji"/>
          <w:b w:val="0"/>
        </w:rPr>
        <w:lastRenderedPageBreak/>
        <w:t xml:space="preserve"> </w:t>
      </w:r>
      <w:r>
        <w:rPr>
          <w:rFonts w:ascii="Segoe UI Emoji" w:eastAsia="Segoe UI Emoji" w:hAnsi="Segoe UI Emoji" w:cs="Segoe UI Emoji"/>
          <w:b w:val="0"/>
          <w:color w:val="0078D7"/>
        </w:rPr>
        <w:t xml:space="preserve"> </w:t>
      </w:r>
      <w:r>
        <w:t xml:space="preserve"> Login Access Policies</w:t>
      </w:r>
      <w:r>
        <w:t xml:space="preserve"> </w:t>
      </w:r>
    </w:p>
    <w:p w:rsidR="00531656" w:rsidRDefault="007747AD">
      <w:pPr>
        <w:spacing w:after="198"/>
        <w:ind w:left="782" w:right="858"/>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Login access policies define how users and admins securely access the system. Admins can temporarily log in as staff f</w:t>
      </w:r>
      <w:r>
        <w:t>or troubleshooting patient or donation record issues. Configuring secure expiration periods for delegated access maintains data privacy. This ensures compliance, transparency, and smooth support for healthcare program operations.</w:t>
      </w:r>
      <w:r>
        <w:t xml:space="preserve"> </w:t>
      </w:r>
    </w:p>
    <w:p w:rsidR="00531656" w:rsidRDefault="007747AD">
      <w:pPr>
        <w:spacing w:after="205" w:line="259" w:lineRule="auto"/>
        <w:ind w:left="720" w:right="0" w:firstLine="0"/>
      </w:pPr>
      <w:r>
        <w:rPr>
          <w:b/>
          <w:sz w:val="32"/>
        </w:rPr>
        <w:t xml:space="preserve"> </w:t>
      </w:r>
    </w:p>
    <w:p w:rsidR="00531656" w:rsidRDefault="007747AD">
      <w:pPr>
        <w:pStyle w:val="Heading1"/>
        <w:ind w:left="-5"/>
      </w:pPr>
      <w:r>
        <w:rPr>
          <w:rFonts w:ascii="Segoe UI Emoji" w:eastAsia="Segoe UI Emoji" w:hAnsi="Segoe UI Emoji" w:cs="Segoe UI Emoji"/>
          <w:b w:val="0"/>
        </w:rPr>
        <w:t xml:space="preserve"> </w:t>
      </w:r>
      <w:r>
        <w:rPr>
          <w:rFonts w:ascii="Segoe UI Emoji" w:eastAsia="Segoe UI Emoji" w:hAnsi="Segoe UI Emoji" w:cs="Segoe UI Emoji"/>
          <w:b w:val="0"/>
          <w:color w:val="0078D7"/>
        </w:rPr>
        <w:t xml:space="preserve"> </w:t>
      </w:r>
      <w:r>
        <w:t xml:space="preserve"> Dev Org Setup</w:t>
      </w:r>
      <w:r>
        <w:t xml:space="preserve"> </w:t>
      </w:r>
    </w:p>
    <w:p w:rsidR="00531656" w:rsidRDefault="007747AD">
      <w:pPr>
        <w:ind w:left="782" w:right="858"/>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A </w:t>
      </w:r>
      <w:r>
        <w:t>Salesforce Developer Org is used to design, test, and validate the Community Health &amp; Donation Tracking system. It includes standard and custom objects, automation via Flows, and dashboards. This environment enables experimentation and configuration of cor</w:t>
      </w:r>
      <w:r>
        <w:t>e features before moving into production or presenting the final capstone solution.</w:t>
      </w:r>
      <w:r>
        <w:t xml:space="preserve"> </w:t>
      </w:r>
    </w:p>
    <w:p w:rsidR="00531656" w:rsidRDefault="007747AD">
      <w:pPr>
        <w:spacing w:after="201" w:line="259" w:lineRule="auto"/>
        <w:ind w:left="720" w:right="0" w:firstLine="0"/>
      </w:pPr>
      <w:r>
        <w:rPr>
          <w:b/>
          <w:sz w:val="32"/>
        </w:rPr>
        <w:t xml:space="preserve"> </w:t>
      </w:r>
    </w:p>
    <w:p w:rsidR="00531656" w:rsidRDefault="007747AD">
      <w:pPr>
        <w:spacing w:after="161" w:line="259" w:lineRule="auto"/>
        <w:ind w:left="0" w:right="0" w:firstLine="0"/>
      </w:pPr>
      <w:r>
        <w:rPr>
          <w:rFonts w:ascii="Segoe UI Emoji" w:eastAsia="Segoe UI Emoji" w:hAnsi="Segoe UI Emoji" w:cs="Segoe UI Emoji"/>
          <w:sz w:val="32"/>
        </w:rPr>
        <w:t xml:space="preserve"> </w:t>
      </w:r>
    </w:p>
    <w:p w:rsidR="00531656" w:rsidRDefault="007747AD">
      <w:pPr>
        <w:spacing w:after="162" w:line="259" w:lineRule="auto"/>
        <w:ind w:left="0" w:right="0" w:firstLine="0"/>
      </w:pPr>
      <w:r>
        <w:rPr>
          <w:rFonts w:ascii="Segoe UI Emoji" w:eastAsia="Segoe UI Emoji" w:hAnsi="Segoe UI Emoji" w:cs="Segoe UI Emoji"/>
          <w:sz w:val="32"/>
        </w:rPr>
        <w:t xml:space="preserve"> </w:t>
      </w:r>
    </w:p>
    <w:p w:rsidR="00531656" w:rsidRDefault="007747AD">
      <w:pPr>
        <w:pStyle w:val="Heading1"/>
        <w:ind w:left="-5"/>
      </w:pPr>
      <w:r>
        <w:rPr>
          <w:rFonts w:ascii="Segoe UI Emoji" w:eastAsia="Segoe UI Emoji" w:hAnsi="Segoe UI Emoji" w:cs="Segoe UI Emoji"/>
          <w:b w:val="0"/>
        </w:rPr>
        <w:t xml:space="preserve"> </w:t>
      </w:r>
      <w:r>
        <w:rPr>
          <w:rFonts w:ascii="Segoe UI Emoji" w:eastAsia="Segoe UI Emoji" w:hAnsi="Segoe UI Emoji" w:cs="Segoe UI Emoji"/>
          <w:b w:val="0"/>
          <w:color w:val="0078D7"/>
        </w:rPr>
        <w:t xml:space="preserve"> </w:t>
      </w:r>
      <w:r>
        <w:t xml:space="preserve"> Deployment Basics</w:t>
      </w:r>
      <w:r>
        <w:t xml:space="preserve"> </w:t>
      </w:r>
    </w:p>
    <w:p w:rsidR="00531656" w:rsidRDefault="007747AD">
      <w:pPr>
        <w:spacing w:after="201"/>
        <w:ind w:left="782" w:right="858"/>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Deployment involves moving configuration from sandbox or developer org to the main environment. For the student project, deployment basics focus on change sets or metadata migration</w:t>
      </w:r>
      <w:r>
        <w:t xml:space="preserve"> </w:t>
      </w:r>
    </w:p>
    <w:p w:rsidR="00531656" w:rsidRDefault="007747AD">
      <w:pPr>
        <w:spacing w:after="0" w:line="358" w:lineRule="auto"/>
        <w:ind w:left="0" w:right="9818" w:firstLine="0"/>
      </w:pPr>
      <w:r>
        <w:rPr>
          <w:sz w:val="32"/>
        </w:rPr>
        <w:t xml:space="preserve"> </w:t>
      </w:r>
      <w:r>
        <w:rPr>
          <w:b/>
          <w:sz w:val="32"/>
        </w:rPr>
        <w:t xml:space="preserve">  </w:t>
      </w:r>
    </w:p>
    <w:sectPr w:rsidR="00531656">
      <w:pgSz w:w="11906" w:h="16838"/>
      <w:pgMar w:top="1440" w:right="576" w:bottom="159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1656"/>
    <w:rsid w:val="00531656"/>
    <w:rsid w:val="007747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B7586"/>
  <w15:docId w15:val="{93635B85-77FC-478A-B3D7-055BF604F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32" w:line="258" w:lineRule="auto"/>
      <w:ind w:left="797" w:right="718" w:hanging="370"/>
    </w:pPr>
    <w:rPr>
      <w:rFonts w:ascii="Calibri" w:eastAsia="Calibri" w:hAnsi="Calibri" w:cs="Calibri"/>
      <w:color w:val="000000"/>
      <w:sz w:val="28"/>
    </w:rPr>
  </w:style>
  <w:style w:type="paragraph" w:styleId="Heading1">
    <w:name w:val="heading 1"/>
    <w:next w:val="Normal"/>
    <w:link w:val="Heading1Char"/>
    <w:uiPriority w:val="9"/>
    <w:qFormat/>
    <w:pPr>
      <w:keepNext/>
      <w:keepLines/>
      <w:spacing w:after="92"/>
      <w:ind w:left="10" w:hanging="10"/>
      <w:outlineLvl w:val="0"/>
    </w:pPr>
    <w:rPr>
      <w:rFonts w:ascii="Calibri" w:eastAsia="Calibri" w:hAnsi="Calibri" w:cs="Calibri"/>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theme" Target="theme/theme1.xml"/><Relationship Id="rId5" Type="http://schemas.openxmlformats.org/officeDocument/2006/relationships/image" Target="media/image2.jpg"/><Relationship Id="rId10" Type="http://schemas.openxmlformats.org/officeDocument/2006/relationships/fontTable" Target="fontTable.xml"/><Relationship Id="rId4" Type="http://schemas.openxmlformats.org/officeDocument/2006/relationships/image" Target="media/image1.jp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664</Words>
  <Characters>3790</Characters>
  <Application>Microsoft Office Word</Application>
  <DocSecurity>0</DocSecurity>
  <Lines>31</Lines>
  <Paragraphs>8</Paragraphs>
  <ScaleCrop>false</ScaleCrop>
  <Company/>
  <LinksUpToDate>false</LinksUpToDate>
  <CharactersWithSpaces>4446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ADMINISTER</dc:creator>
  <cp:keywords/>
  <cp:lastModifiedBy>ADMINISTER</cp:lastModifiedBy>
  <cp:revision>2</cp:revision>
  <dcterms:created xsi:type="dcterms:W3CDTF">2025-11-05T12:02:00Z</dcterms:created>
  <dcterms:modified xsi:type="dcterms:W3CDTF">2025-11-05T12:02:00Z</dcterms:modified>
</cp:coreProperties>
</file>