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1. Overview</w:t>
      </w:r>
    </w:p>
    <w:p>
      <w:r>
        <w:t xml:space="preserve">Revenue grew </w:t>
      </w:r>
      <w:r>
        <w:rPr>
          <w:b/>
        </w:rPr>
        <w:t>12%</w:t>
      </w:r>
      <w:r>
        <w:t xml:space="preserve"> this quarter, driven by </w:t>
      </w:r>
      <w:r>
        <w:rPr>
          <w:i/>
        </w:rPr>
        <w:t>strong</w:t>
      </w:r>
      <w:r>
        <w:t xml:space="preserve"> subscription sales across all regions.</w:t>
      </w:r>
    </w:p>
    <w:p>
      <w:pPr>
        <w:pStyle w:val="Heading1"/>
      </w:pPr>
      <w:r>
        <w:t>2. Key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$1.2M</w:t>
            </w:r>
          </w:p>
        </w:tc>
      </w:tr>
      <w:tr>
        <w:tc>
          <w:tcPr>
            <w:tcW w:type="dxa" w:w="4320"/>
          </w:tcPr>
          <w:p>
            <w:r>
              <w:t>New users</w:t>
            </w:r>
          </w:p>
        </w:tc>
        <w:tc>
          <w:tcPr>
            <w:tcW w:type="dxa" w:w="4320"/>
          </w:tcPr>
          <w:p>
            <w:r>
              <w:t>8,450</w:t>
            </w:r>
          </w:p>
        </w:tc>
      </w:tr>
    </w:tbl>
    <w:p>
      <w:pPr>
        <w:pStyle w:val="Heading1"/>
      </w:pPr>
      <w:r>
        <w:t>3. Next Steps</w:t>
      </w:r>
    </w:p>
    <w:p>
      <w:pPr>
        <w:pStyle w:val="ListBullet"/>
      </w:pPr>
      <w:r>
        <w:t>Expand to two new markets</w:t>
      </w:r>
    </w:p>
    <w:p>
      <w:pPr>
        <w:pStyle w:val="ListBullet"/>
      </w:pPr>
      <w:r>
        <w:t>Hire three engineers</w:t>
      </w:r>
    </w:p>
    <w:p>
      <w:pPr>
        <w:pStyle w:val="ListBullet"/>
      </w:pPr>
      <w:r>
        <w:t>Ship the mobile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