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APL Logistics Delivery Performance Executive Summary</w:t>
      </w:r>
    </w:p>
    <w:p>
      <w:pPr>
        <w:spacing w:after="360"/>
      </w:pPr>
      <w:r>
        <w:rPr>
          <w:b/>
          <w:sz w:val="24"/>
        </w:rPr>
        <w:t>Stakeholder briefing on historical delivery performance</w:t>
      </w:r>
    </w:p>
    <w:p>
      <w:r>
        <w:t>The delivery-performance dashboard shows that delay exposure is material and concentrated in specific shipping modes. The immediate priority is to review service promises and operating conditions for First Class and Second Class shipments. The dashboard is ready for managers to filter by market, region, country, and customer segment and to download the underlying filtered records for follow-up.</w:t>
      </w:r>
    </w:p>
    <w:p>
      <w:pPr>
        <w:pStyle w:val="Heading1"/>
      </w:pPr>
      <w:r>
        <w:t>What the analysis found</w:t>
      </w:r>
    </w:p>
    <w:tbl>
      <w:tblPr>
        <w:tblStyle w:val="TableGrid"/>
        <w:tblW w:type="auto" w:w="0"/>
        <w:tblLayout w:type="fixed"/>
        <w:tblLook w:firstColumn="1" w:firstRow="1" w:lastColumn="0" w:lastRow="0" w:noHBand="0" w:noVBand="1" w:val="04A0"/>
      </w:tblPr>
      <w:tblGrid>
        <w:gridCol w:w="3293"/>
        <w:gridCol w:w="3293"/>
        <w:gridCol w:w="3293"/>
      </w:tblGrid>
      <w:tr>
        <w:tc>
          <w:tcPr>
            <w:tcW w:type="dxa" w:w="2880"/>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Headline measure</w:t>
            </w:r>
          </w:p>
        </w:tc>
        <w:tc>
          <w:tcPr>
            <w:tcW w:type="dxa" w:w="1440"/>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Result</w:t>
            </w:r>
          </w:p>
        </w:tc>
        <w:tc>
          <w:tcPr>
            <w:tcW w:type="dxa" w:w="5184"/>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What it means</w:t>
            </w:r>
          </w:p>
        </w:tc>
      </w:tr>
      <w:tr>
        <w:tc>
          <w:tcPr>
            <w:tcW w:type="dxa" w:w="28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Total shipment records</w:t>
            </w:r>
          </w:p>
        </w:tc>
        <w:tc>
          <w:tcPr>
            <w:tcW w:type="dxa" w:w="144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180,519</w:t>
            </w:r>
          </w:p>
        </w:tc>
        <w:tc>
          <w:tcPr>
            <w:tcW w:type="dxa" w:w="518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A large historical base for operational comparison</w:t>
            </w:r>
          </w:p>
        </w:tc>
      </w:tr>
      <w:tr>
        <w:tc>
          <w:tcPr>
            <w:tcW w:type="dxa" w:w="28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Calculated delayed deliveries</w:t>
            </w:r>
          </w:p>
        </w:tc>
        <w:tc>
          <w:tcPr>
            <w:tcW w:type="dxa" w:w="144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57.28%</w:t>
            </w:r>
          </w:p>
        </w:tc>
        <w:tc>
          <w:tcPr>
            <w:tcW w:type="dxa" w:w="518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More than half of shipments exceeded scheduled duration</w:t>
            </w:r>
          </w:p>
        </w:tc>
      </w:tr>
      <w:tr>
        <w:tc>
          <w:tcPr>
            <w:tcW w:type="dxa" w:w="28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On-time or early deliveries</w:t>
            </w:r>
          </w:p>
        </w:tc>
        <w:tc>
          <w:tcPr>
            <w:tcW w:type="dxa" w:w="144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42.72%</w:t>
            </w:r>
          </w:p>
        </w:tc>
        <w:tc>
          <w:tcPr>
            <w:tcW w:type="dxa" w:w="518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Current baseline for service improvement</w:t>
            </w:r>
          </w:p>
        </w:tc>
      </w:tr>
      <w:tr>
        <w:tc>
          <w:tcPr>
            <w:tcW w:type="dxa" w:w="28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Average delivery delay gap</w:t>
            </w:r>
          </w:p>
        </w:tc>
        <w:tc>
          <w:tcPr>
            <w:tcW w:type="dxa" w:w="144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0.57 days</w:t>
            </w:r>
          </w:p>
        </w:tc>
        <w:tc>
          <w:tcPr>
            <w:tcW w:type="dxa" w:w="518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Actual shipping duration is moderately above plan overall</w:t>
            </w:r>
          </w:p>
        </w:tc>
      </w:tr>
      <w:tr>
        <w:tc>
          <w:tcPr>
            <w:tcW w:type="dxa" w:w="28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Source late-risk flag</w:t>
            </w:r>
          </w:p>
        </w:tc>
        <w:tc>
          <w:tcPr>
            <w:tcW w:type="dxa" w:w="144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54.83%</w:t>
            </w:r>
          </w:p>
        </w:tc>
        <w:tc>
          <w:tcPr>
            <w:tcW w:type="dxa" w:w="518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Useful source indicator but not the same as the calculated delay metric</w:t>
            </w:r>
          </w:p>
        </w:tc>
      </w:tr>
    </w:tbl>
    <w:p>
      <w:pPr>
        <w:spacing w:after="40"/>
      </w:pPr>
    </w:p>
    <w:p>
      <w:pPr>
        <w:pStyle w:val="Heading1"/>
      </w:pPr>
      <w:r>
        <w:t>Where attention is needed</w:t>
      </w:r>
    </w:p>
    <w:p>
      <w:r>
        <w:t>First Class is the most urgent issue. All 27,814 First Class shipments were delayed according to the actual-versus-scheduled calculation. Second Class requires separate review because it has the highest average delay gap at 1.99 days. Standard Class carries the largest shipment volume and performs comparatively better, with 60.23 percent of shipments on time or early.</w:t>
      </w:r>
    </w:p>
    <w:p>
      <w:r>
        <w:t>Regional decisions should not be made from delay rate alone. Central Africa had the highest rate at 60.70 percent, while Western Europe had 27,109 shipments and a 58.52 percent delayed rate. The regional priority matrix in the dashboard balances volume and delay risk so managers can focus on the largest operational impact.</w:t>
      </w:r>
    </w:p>
    <w:p>
      <w:pPr>
        <w:pStyle w:val="Heading1"/>
      </w:pPr>
      <w:r>
        <w:t>Recommended actions</w:t>
      </w:r>
    </w:p>
    <w:p>
      <w:pPr>
        <w:pStyle w:val="ListBullet"/>
      </w:pPr>
      <w:r>
        <w:t>Validate whether First Class promised durations are realistic for the carrier and route combinations being used.</w:t>
      </w:r>
    </w:p>
    <w:p>
      <w:pPr>
        <w:pStyle w:val="ListBullet"/>
      </w:pPr>
      <w:r>
        <w:t>Investigate the causes of the Second Class average delay gap before changing service targets.</w:t>
      </w:r>
    </w:p>
    <w:p>
      <w:pPr>
        <w:pStyle w:val="ListBullet"/>
      </w:pPr>
      <w:r>
        <w:t>Use the dashboard before regional operations reviews to isolate high-volume and high-delay combinations.</w:t>
      </w:r>
    </w:p>
    <w:p>
      <w:pPr>
        <w:pStyle w:val="ListBullet"/>
      </w:pPr>
      <w:r>
        <w:t>Export filtered records from the dashboard when a regional or shipping-mode owner needs a detailed follow-up list.</w:t>
      </w:r>
    </w:p>
    <w:p>
      <w:pPr>
        <w:pStyle w:val="ListBullet"/>
      </w:pPr>
      <w:r>
        <w:t>Report calculated delay performance and the source risk flag as separate measures.</w:t>
      </w:r>
    </w:p>
    <w:p>
      <w:pPr>
        <w:pStyle w:val="Heading1"/>
      </w:pPr>
      <w:r>
        <w:t>What stakeholders can use now</w:t>
      </w:r>
    </w:p>
    <w:p>
      <w:r>
        <w:t>The Streamlit dashboard is ready for local use. It provides KPI cards, delay distributions, shipping-mode comparison, regional and geographic risk views, a priority matrix, filter controls, and a filtered-data download. It is designed for diagnosis and prioritization, not for predicting future delivery delays.</w:t>
      </w:r>
    </w:p>
    <w:p>
      <w:pPr>
        <w:pStyle w:val="Heading1"/>
      </w:pPr>
      <w:r>
        <w:t>Scope note</w:t>
      </w:r>
    </w:p>
    <w:p>
      <w:r>
        <w:t>The supplied data has no order or delivery date field, so the dashboard intentionally does not provide date-range filtering or time-trend analysis. A future phase can add those capabilities when time-stamped operational data becomes available.</w:t>
      </w:r>
    </w:p>
    <w:sectPr w:rsidR="00FC693F" w:rsidRPr="0006063C" w:rsidSect="00034616">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