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Delivery Performance Delay Risk and Logistics Efficiency Analysis</w:t>
      </w:r>
    </w:p>
    <w:p>
      <w:pPr>
        <w:spacing w:after="360"/>
      </w:pPr>
      <w:r>
        <w:rPr>
          <w:b/>
          <w:sz w:val="24"/>
        </w:rPr>
        <w:t>Research paper on global supply chain operations</w:t>
      </w:r>
    </w:p>
    <w:p>
      <w:pPr>
        <w:pStyle w:val="Heading1"/>
      </w:pPr>
      <w:r>
        <w:t>Abstract</w:t>
      </w:r>
    </w:p>
    <w:p>
      <w:r>
        <w:t>This study examines delivery performance and delay risk in 180,519 historical global supply chain shipment records. The analysis compares actual shipping duration with scheduled duration, classifies deliveries as early, on time, or delayed, and evaluates performance by shipping mode, region, market, country, and customer segment. The dataset shows that 57.28 percent of shipments were delayed according to the calculated delivery gap, while 42.72 percent were on time or early. The main operational concern is the First Class shipping mode, which was delayed for every recorded shipment. The resulting Streamlit dashboard gives stakeholders a reusable view of delay exposure and delivery performance rather than a one-time spreadsheet analysis.</w:t>
      </w:r>
    </w:p>
    <w:p>
      <w:r>
        <w:rPr>
          <w:b/>
        </w:rPr>
        <w:t xml:space="preserve">Keywords: </w:t>
      </w:r>
      <w:r>
        <w:t>supply chain analytics, delivery performance, delay risk, logistics dashboard, Streamlit</w:t>
      </w:r>
    </w:p>
    <w:p>
      <w:pPr>
        <w:pStyle w:val="Heading1"/>
      </w:pPr>
      <w:r>
        <w:t>1 Introduction</w:t>
      </w:r>
    </w:p>
    <w:p>
      <w:r>
        <w:t>Large logistics operations manage shipments across markets, regions, product categories, and service levels. When actual delivery duration differs from the committed duration, teams need a clear way to see the impact before customers, costs, or service commitments are affected. This project builds a diagnostic analytics layer for delivery performance. It focuses on historical evidence: what happened, where it happened, and which operating dimensions are associated with delay.</w:t>
      </w:r>
    </w:p>
    <w:p>
      <w:pPr>
        <w:pStyle w:val="Heading1"/>
      </w:pPr>
      <w:r>
        <w:t>2 Problem Statement and Objectives</w:t>
      </w:r>
    </w:p>
    <w:p>
      <w:r>
        <w:t>The available order and shipping data contains detailed operational records, but it does not directly provide a consistent view of on-time performance, delay intensity, service-mode efficiency, or geographic risk. Without this view, logistics teams may respond to individual late shipments instead of identifying repeatable patterns.</w:t>
      </w:r>
    </w:p>
    <w:p>
      <w:pPr>
        <w:pStyle w:val="ListBullet"/>
      </w:pPr>
      <w:r>
        <w:t>Measure the proportion of deliveries that are early, on time, or delayed.</w:t>
      </w:r>
    </w:p>
    <w:p>
      <w:pPr>
        <w:pStyle w:val="ListBullet"/>
      </w:pPr>
      <w:r>
        <w:t>Quantify the average difference between actual and scheduled shipping duration.</w:t>
      </w:r>
    </w:p>
    <w:p>
      <w:pPr>
        <w:pStyle w:val="ListBullet"/>
      </w:pPr>
      <w:r>
        <w:t>Compare delivery performance across shipping modes.</w:t>
      </w:r>
    </w:p>
    <w:p>
      <w:pPr>
        <w:pStyle w:val="ListBullet"/>
      </w:pPr>
      <w:r>
        <w:t>Identify high-risk regions, markets, and customer segments.</w:t>
      </w:r>
    </w:p>
    <w:p>
      <w:pPr>
        <w:pStyle w:val="ListBullet"/>
      </w:pPr>
      <w:r>
        <w:t>Deliver findings through an interactive Streamlit dashboard for non-technical stakeholders.</w:t>
      </w:r>
    </w:p>
    <w:p>
      <w:pPr>
        <w:pStyle w:val="Heading1"/>
      </w:pPr>
      <w:r>
        <w:t>3 Dataset and Preparation</w:t>
      </w:r>
    </w:p>
    <w:p>
      <w:r>
        <w:t>The supplied APL Logistics dataset contains 180,519 shipment-level records. It includes actual and scheduled shipping days, delivery status, late-delivery-risk flag, shipping mode, market, order region, country, customer segment, sales, profit, and customer-location coordinates. The preparation pipeline checked duplicates, validated shipping-duration fields, standardized dashboard filter fields, and produced an analytics-ready dataset.</w:t>
      </w:r>
    </w:p>
    <w:tbl>
      <w:tblPr>
        <w:tblStyle w:val="TableGrid"/>
        <w:tblW w:type="auto" w:w="0"/>
        <w:tblLayout w:type="fixed"/>
        <w:tblLook w:firstColumn="1" w:firstRow="1" w:lastColumn="0" w:lastRow="0" w:noHBand="0" w:noVBand="1" w:val="04A0"/>
      </w:tblPr>
      <w:tblGrid>
        <w:gridCol w:w="4939"/>
        <w:gridCol w:w="4939"/>
      </w:tblGrid>
      <w:tr>
        <w:tc>
          <w:tcPr>
            <w:tcW w:type="dxa" w:w="475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Data check</w:t>
            </w:r>
          </w:p>
        </w:tc>
        <w:tc>
          <w:tcPr>
            <w:tcW w:type="dxa" w:w="475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Result</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Source rows</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180,519</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Exact duplicate rows removed</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0</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Invalid shipping-duration rows removed</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0</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Analytics-ready rows</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180,519</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Date fields available</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No order or delivery date field in supplied CSV</w:t>
            </w:r>
          </w:p>
        </w:tc>
      </w:tr>
    </w:tbl>
    <w:p>
      <w:pPr>
        <w:spacing w:after="40"/>
      </w:pPr>
    </w:p>
    <w:p>
      <w:pPr>
        <w:pStyle w:val="Heading1"/>
      </w:pPr>
      <w:r>
        <w:t>4 Analytical Methodology</w:t>
      </w:r>
    </w:p>
    <w:p>
      <w:r>
        <w:t>The core measure is the delivery delay gap. It is calculated as actual shipping days minus scheduled shipping days. A negative result is classified as early, zero as on time, and a positive result as delayed. The analysis then aggregates the result across operational dimensions. The dashboard also displays the source Late_delivery_risk field separately because it does not exactly match the calculated delivery classification.</w:t>
      </w:r>
    </w:p>
    <w:tbl>
      <w:tblPr>
        <w:tblStyle w:val="TableGrid"/>
        <w:tblW w:type="auto" w:w="0"/>
        <w:tblLayout w:type="fixed"/>
        <w:tblLook w:firstColumn="1" w:firstRow="1" w:lastColumn="0" w:lastRow="0" w:noHBand="0" w:noVBand="1" w:val="04A0"/>
      </w:tblPr>
      <w:tblGrid>
        <w:gridCol w:w="4939"/>
        <w:gridCol w:w="4939"/>
      </w:tblGrid>
      <w:tr>
        <w:tc>
          <w:tcPr>
            <w:tcW w:type="dxa" w:w="3024"/>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Metric</w:t>
            </w:r>
          </w:p>
        </w:tc>
        <w:tc>
          <w:tcPr>
            <w:tcW w:type="dxa" w:w="6480"/>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Definition</w:t>
            </w:r>
          </w:p>
        </w:tc>
      </w:tr>
      <w:tr>
        <w:tc>
          <w:tcPr>
            <w:tcW w:type="dxa" w:w="302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On-time or early rate</w:t>
            </w:r>
          </w:p>
        </w:tc>
        <w:tc>
          <w:tcPr>
            <w:tcW w:type="dxa" w:w="64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Percentage of shipments with a delay gap less than or equal to zero</w:t>
            </w:r>
          </w:p>
        </w:tc>
      </w:tr>
      <w:tr>
        <w:tc>
          <w:tcPr>
            <w:tcW w:type="dxa" w:w="302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Calculated delayed rate</w:t>
            </w:r>
          </w:p>
        </w:tc>
        <w:tc>
          <w:tcPr>
            <w:tcW w:type="dxa" w:w="64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Percentage of shipments with a positive delay gap</w:t>
            </w:r>
          </w:p>
        </w:tc>
      </w:tr>
      <w:tr>
        <w:tc>
          <w:tcPr>
            <w:tcW w:type="dxa" w:w="302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Average delivery delay gap</w:t>
            </w:r>
          </w:p>
        </w:tc>
        <w:tc>
          <w:tcPr>
            <w:tcW w:type="dxa" w:w="64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Mean of actual shipping days minus scheduled shipping days</w:t>
            </w:r>
          </w:p>
        </w:tc>
      </w:tr>
      <w:tr>
        <w:tc>
          <w:tcPr>
            <w:tcW w:type="dxa" w:w="302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Source late-risk ratio</w:t>
            </w:r>
          </w:p>
        </w:tc>
        <w:tc>
          <w:tcPr>
            <w:tcW w:type="dxa" w:w="64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Percentage of shipments marked as late risk in the supplied data</w:t>
            </w:r>
          </w:p>
        </w:tc>
      </w:tr>
    </w:tbl>
    <w:p>
      <w:pPr>
        <w:spacing w:after="40"/>
      </w:pPr>
    </w:p>
    <w:p>
      <w:pPr>
        <w:pStyle w:val="Heading1"/>
      </w:pPr>
      <w:r>
        <w:t>5 Findings</w:t>
      </w:r>
    </w:p>
    <w:p>
      <w:r>
        <w:t>The overall baseline indicates material delay exposure. The calculated delayed-delivery rate is higher than the source late-risk ratio, confirming that the two measures should not be treated as interchangeable. The dashboard therefore presents both measures with clear labels.</w:t>
      </w:r>
    </w:p>
    <w:tbl>
      <w:tblPr>
        <w:tblStyle w:val="TableGrid"/>
        <w:tblW w:type="auto" w:w="0"/>
        <w:tblLayout w:type="fixed"/>
        <w:tblLook w:firstColumn="1" w:firstRow="1" w:lastColumn="0" w:lastRow="0" w:noHBand="0" w:noVBand="1" w:val="04A0"/>
      </w:tblPr>
      <w:tblGrid>
        <w:gridCol w:w="4939"/>
        <w:gridCol w:w="4939"/>
      </w:tblGrid>
      <w:tr>
        <w:tc>
          <w:tcPr>
            <w:tcW w:type="dxa" w:w="475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KPI</w:t>
            </w:r>
          </w:p>
        </w:tc>
        <w:tc>
          <w:tcPr>
            <w:tcW w:type="dxa" w:w="475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Value</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Total shipments</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180,519</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On-time or early delivery rate</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42.72%</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Calculated delayed-delivery rate</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57.28%</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Average delivery delay gap</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0.57 days</w:t>
            </w:r>
          </w:p>
        </w:tc>
      </w:tr>
      <w:tr>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Source late-delivery-risk ratio</w:t>
            </w:r>
          </w:p>
        </w:tc>
        <w:tc>
          <w:tcPr>
            <w:tcW w:type="dxa" w:w="47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54.83%</w:t>
            </w:r>
          </w:p>
        </w:tc>
      </w:tr>
    </w:tbl>
    <w:p>
      <w:pPr>
        <w:spacing w:after="40"/>
      </w:pPr>
    </w:p>
    <w:p>
      <w:r>
        <w:t>Shipping mode is the clearest differentiator. First Class recorded a calculated delayed-delivery rate of 100 percent across 27,814 shipments. Second Class had the largest average delay gap at 1.99 days and a delayed rate of 79.73 percent. Standard Class carried the highest shipment volume and had the strongest on-time-or-early rate among the four modes.</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c>
          <w:tcPr>
            <w:tcW w:type="dxa" w:w="1944"/>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Shipping mode</w:t>
            </w:r>
          </w:p>
        </w:tc>
        <w:tc>
          <w:tcPr>
            <w:tcW w:type="dxa" w:w="151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Shipments</w:t>
            </w:r>
          </w:p>
        </w:tc>
        <w:tc>
          <w:tcPr>
            <w:tcW w:type="dxa" w:w="1728"/>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Delayed rate</w:t>
            </w:r>
          </w:p>
        </w:tc>
        <w:tc>
          <w:tcPr>
            <w:tcW w:type="dxa" w:w="187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Average delay gap</w:t>
            </w:r>
          </w:p>
        </w:tc>
        <w:tc>
          <w:tcPr>
            <w:tcW w:type="dxa" w:w="2016"/>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On-time or early</w:t>
            </w:r>
          </w:p>
        </w:tc>
      </w:tr>
      <w:tr>
        <w:tc>
          <w:tcPr>
            <w:tcW w:type="dxa" w:w="194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First Class</w:t>
            </w:r>
          </w:p>
        </w:tc>
        <w:tc>
          <w:tcPr>
            <w:tcW w:type="dxa" w:w="151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27,814</w:t>
            </w:r>
          </w:p>
        </w:tc>
        <w:tc>
          <w:tcPr>
            <w:tcW w:type="dxa" w:w="172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100.00%</w:t>
            </w:r>
          </w:p>
        </w:tc>
        <w:tc>
          <w:tcPr>
            <w:tcW w:type="dxa" w:w="18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1.00 days</w:t>
            </w:r>
          </w:p>
        </w:tc>
        <w:tc>
          <w:tcPr>
            <w:tcW w:type="dxa" w:w="2016"/>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0.00%</w:t>
            </w:r>
          </w:p>
        </w:tc>
      </w:tr>
      <w:tr>
        <w:tc>
          <w:tcPr>
            <w:tcW w:type="dxa" w:w="194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Second Class</w:t>
            </w:r>
          </w:p>
        </w:tc>
        <w:tc>
          <w:tcPr>
            <w:tcW w:type="dxa" w:w="151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35,216</w:t>
            </w:r>
          </w:p>
        </w:tc>
        <w:tc>
          <w:tcPr>
            <w:tcW w:type="dxa" w:w="172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79.73%</w:t>
            </w:r>
          </w:p>
        </w:tc>
        <w:tc>
          <w:tcPr>
            <w:tcW w:type="dxa" w:w="18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1.99 days</w:t>
            </w:r>
          </w:p>
        </w:tc>
        <w:tc>
          <w:tcPr>
            <w:tcW w:type="dxa" w:w="2016"/>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20.27%</w:t>
            </w:r>
          </w:p>
        </w:tc>
      </w:tr>
      <w:tr>
        <w:tc>
          <w:tcPr>
            <w:tcW w:type="dxa" w:w="194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Same Day</w:t>
            </w:r>
          </w:p>
        </w:tc>
        <w:tc>
          <w:tcPr>
            <w:tcW w:type="dxa" w:w="151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9,737</w:t>
            </w:r>
          </w:p>
        </w:tc>
        <w:tc>
          <w:tcPr>
            <w:tcW w:type="dxa" w:w="172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47.83%</w:t>
            </w:r>
          </w:p>
        </w:tc>
        <w:tc>
          <w:tcPr>
            <w:tcW w:type="dxa" w:w="18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0.48 days</w:t>
            </w:r>
          </w:p>
        </w:tc>
        <w:tc>
          <w:tcPr>
            <w:tcW w:type="dxa" w:w="2016"/>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52.17%</w:t>
            </w:r>
          </w:p>
        </w:tc>
      </w:tr>
      <w:tr>
        <w:tc>
          <w:tcPr>
            <w:tcW w:type="dxa" w:w="194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Standard Class</w:t>
            </w:r>
          </w:p>
        </w:tc>
        <w:tc>
          <w:tcPr>
            <w:tcW w:type="dxa" w:w="151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107,752</w:t>
            </w:r>
          </w:p>
        </w:tc>
        <w:tc>
          <w:tcPr>
            <w:tcW w:type="dxa" w:w="172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39.77%</w:t>
            </w:r>
          </w:p>
        </w:tc>
        <w:tc>
          <w:tcPr>
            <w:tcW w:type="dxa" w:w="18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0.00 days</w:t>
            </w:r>
          </w:p>
        </w:tc>
        <w:tc>
          <w:tcPr>
            <w:tcW w:type="dxa" w:w="2016"/>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60.23%</w:t>
            </w:r>
          </w:p>
        </w:tc>
      </w:tr>
    </w:tbl>
    <w:p>
      <w:pPr>
        <w:spacing w:after="40"/>
      </w:pPr>
    </w:p>
    <w:p>
      <w:r>
        <w:t>Regional results should be evaluated using both rate and volume. Central Africa had the highest regional calculated delay rate at 60.70 percent, but with 1,677 shipments. Western Europe had a lower rate of 58.52 percent but a much larger volume of 27,109 shipments. This makes Western Europe a substantial operational priority even though it is not the highest-rate outlier. Customer-segment delay rates were similar, ranging from 57.11 percent to 57.52 percent, so segment alone does not explain the main delay pattern.</w:t>
      </w:r>
    </w:p>
    <w:p>
      <w:pPr>
        <w:pStyle w:val="Heading1"/>
      </w:pPr>
      <w:r>
        <w:t>6 Dashboard Implementation</w:t>
      </w:r>
    </w:p>
    <w:p>
      <w:r>
        <w:t>The solution is implemented as a Streamlit dashboard using Python, Pandas, Altair, and PyDeck. Users can filter by shipping mode, market, order region, country, and customer segment. The dashboard includes KPI cards, delivery classification, delay-gap distribution, shipping-mode comparison, regional diagnostics, a geographic delay-risk map, a regional priority matrix, downloadable filtered data, and dynamic recommendations.</w:t>
      </w:r>
    </w:p>
    <w:p>
      <w:pPr>
        <w:pStyle w:val="Heading1"/>
      </w:pPr>
      <w:r>
        <w:t>7 Recommendations</w:t>
      </w:r>
    </w:p>
    <w:p>
      <w:pPr>
        <w:pStyle w:val="ListBullet"/>
      </w:pPr>
      <w:r>
        <w:t>Review First Class scheduling commitments against actual carrier lead times before presenting the service as a premium expedited option.</w:t>
      </w:r>
    </w:p>
    <w:p>
      <w:pPr>
        <w:pStyle w:val="ListBullet"/>
      </w:pPr>
      <w:r>
        <w:t>Investigate Second Class because its 1.99-day average delay gap is the largest among the shipping modes.</w:t>
      </w:r>
    </w:p>
    <w:p>
      <w:pPr>
        <w:pStyle w:val="ListBullet"/>
      </w:pPr>
      <w:r>
        <w:t>Prioritize high-volume regions such as Western Europe alongside high-rate outliers, using the regional priority matrix to balance impact and risk.</w:t>
      </w:r>
    </w:p>
    <w:p>
      <w:pPr>
        <w:pStyle w:val="ListBullet"/>
      </w:pPr>
      <w:r>
        <w:t>Use the dashboard in operational reviews to monitor filters and investigate combinations of region, shipping mode, and customer segment.</w:t>
      </w:r>
    </w:p>
    <w:p>
      <w:pPr>
        <w:pStyle w:val="ListBullet"/>
      </w:pPr>
      <w:r>
        <w:t>Keep the calculated delay metric and source late-risk flag separate in management reporting.</w:t>
      </w:r>
    </w:p>
    <w:p>
      <w:pPr>
        <w:pStyle w:val="Heading1"/>
      </w:pPr>
      <w:r>
        <w:t>8 Limitations and Future Scope</w:t>
      </w:r>
    </w:p>
    <w:p>
      <w:r>
        <w:t>The supplied CSV does not include an order or delivery date, so time-series trends and date-range filtering are outside the current scope. The analysis is diagnostic and identifies historical associations; it does not prove causation or predict future outcomes. A later phase could add time-based data, live operational feeds, predictive delay modeling, and route or shipping-mode optimization after stakeholders validate the diagnostic findings.</w:t>
      </w:r>
    </w:p>
    <w:p>
      <w:pPr>
        <w:pStyle w:val="Heading1"/>
      </w:pPr>
      <w:r>
        <w:t>9 Conclusion</w:t>
      </w:r>
    </w:p>
    <w:p>
      <w:r>
        <w:t>This project converts a large shipment dataset into an operational decision tool. It establishes a verified baseline for delivery performance, identifies significant shipping-mode risk, and gives stakeholders a direct way to explore geographic and customer-related delay patterns. The current dashboard is a complete diagnostic foundation for improving logistics visibility before any predictive or optimization work is introduced.</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