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APL Logistics Delivery Performance Executive Summary</w:t>
      </w:r>
    </w:p>
    <w:p>
      <w:pPr>
        <w:spacing w:after="360"/>
      </w:pPr>
      <w:r>
        <w:rPr>
          <w:b/>
          <w:sz w:val="24"/>
        </w:rPr>
        <w:t>Stakeholder briefing on historical delivery performance</w:t>
      </w:r>
    </w:p>
    <w:p>
      <w:r>
        <w:t>The delivery-performance dashboard shows that delay exposure is material and concentrated in specific shipping modes. The immediate priority is to review service promises and operating conditions for First Class and Second Class shipments. The upgraded dashboard also provides historical delay-risk estimates, local live-data API support, controlled user roles, and a route-planning simulator for operational exploration.</w:t>
      </w:r>
    </w:p>
    <w:p>
      <w:pPr>
        <w:pStyle w:val="Heading1"/>
      </w:pPr>
      <w:r>
        <w:t>What the analysis found</w:t>
      </w:r>
    </w:p>
    <w:tbl>
      <w:tblPr>
        <w:tblStyle w:val="TableGrid"/>
        <w:tblW w:type="auto" w:w="0"/>
        <w:tblLayout w:type="fixed"/>
        <w:tblLook w:firstColumn="1" w:firstRow="1" w:lastColumn="0" w:lastRow="0" w:noHBand="0" w:noVBand="1" w:val="04A0"/>
      </w:tblPr>
      <w:tblGrid>
        <w:gridCol w:w="3293"/>
        <w:gridCol w:w="3293"/>
        <w:gridCol w:w="3293"/>
      </w:tblGrid>
      <w:tr>
        <w:tc>
          <w:tcPr>
            <w:tcW w:type="dxa" w:w="2880"/>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Headline measure</w:t>
            </w:r>
          </w:p>
        </w:tc>
        <w:tc>
          <w:tcPr>
            <w:tcW w:type="dxa" w:w="1440"/>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Result</w:t>
            </w:r>
          </w:p>
        </w:tc>
        <w:tc>
          <w:tcPr>
            <w:tcW w:type="dxa" w:w="5184"/>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b/>
                <w:color w:val="FFFFFF"/>
                <w:sz w:val="20"/>
              </w:rPr>
              <w:t>What it means</w:t>
            </w:r>
          </w:p>
        </w:tc>
      </w:tr>
      <w:tr>
        <w:tc>
          <w:tcPr>
            <w:tcW w:type="dxa" w:w="28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Total shipment records</w:t>
            </w:r>
          </w:p>
        </w:tc>
        <w:tc>
          <w:tcPr>
            <w:tcW w:type="dxa" w:w="14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180,519</w:t>
            </w:r>
          </w:p>
        </w:tc>
        <w:tc>
          <w:tcPr>
            <w:tcW w:type="dxa" w:w="518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A large historical base for operational comparison</w:t>
            </w:r>
          </w:p>
        </w:tc>
      </w:tr>
      <w:tr>
        <w:tc>
          <w:tcPr>
            <w:tcW w:type="dxa" w:w="28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Calculated delayed deliveries</w:t>
            </w:r>
          </w:p>
        </w:tc>
        <w:tc>
          <w:tcPr>
            <w:tcW w:type="dxa" w:w="14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57.28%</w:t>
            </w:r>
          </w:p>
        </w:tc>
        <w:tc>
          <w:tcPr>
            <w:tcW w:type="dxa" w:w="518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More than half of shipments exceeded scheduled duration</w:t>
            </w:r>
          </w:p>
        </w:tc>
      </w:tr>
      <w:tr>
        <w:tc>
          <w:tcPr>
            <w:tcW w:type="dxa" w:w="28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On-time or early deliveries</w:t>
            </w:r>
          </w:p>
        </w:tc>
        <w:tc>
          <w:tcPr>
            <w:tcW w:type="dxa" w:w="14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42.72%</w:t>
            </w:r>
          </w:p>
        </w:tc>
        <w:tc>
          <w:tcPr>
            <w:tcW w:type="dxa" w:w="518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Current baseline for service improvement</w:t>
            </w:r>
          </w:p>
        </w:tc>
      </w:tr>
      <w:tr>
        <w:tc>
          <w:tcPr>
            <w:tcW w:type="dxa" w:w="28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Average delivery delay gap</w:t>
            </w:r>
          </w:p>
        </w:tc>
        <w:tc>
          <w:tcPr>
            <w:tcW w:type="dxa" w:w="14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0.57 days</w:t>
            </w:r>
          </w:p>
        </w:tc>
        <w:tc>
          <w:tcPr>
            <w:tcW w:type="dxa" w:w="518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EDF3F8"/>
          </w:tcPr>
          <w:p>
            <w:r>
              <w:rPr>
                <w:sz w:val="20"/>
              </w:rPr>
              <w:t>Actual shipping duration is moderately above plan overall</w:t>
            </w:r>
          </w:p>
        </w:tc>
      </w:tr>
      <w:tr>
        <w:tc>
          <w:tcPr>
            <w:tcW w:type="dxa" w:w="288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Source late-risk flag</w:t>
            </w:r>
          </w:p>
        </w:tc>
        <w:tc>
          <w:tcPr>
            <w:tcW w:type="dxa" w:w="14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54.83%</w:t>
            </w:r>
          </w:p>
        </w:tc>
        <w:tc>
          <w:tcPr>
            <w:tcW w:type="dxa" w:w="5184"/>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r>
              <w:rPr>
                <w:sz w:val="20"/>
              </w:rPr>
              <w:t>Useful source indicator but not the same as the calculated delay metric</w:t>
            </w:r>
          </w:p>
        </w:tc>
      </w:tr>
    </w:tbl>
    <w:p>
      <w:pPr>
        <w:spacing w:after="40"/>
      </w:pPr>
    </w:p>
    <w:p>
      <w:pPr>
        <w:pStyle w:val="Heading1"/>
      </w:pPr>
      <w:r>
        <w:t>Where attention is needed</w:t>
      </w:r>
    </w:p>
    <w:p>
      <w:r>
        <w:t>First Class is the most urgent issue. All 27,814 First Class shipments were delayed according to the actual-versus-scheduled calculation. Second Class requires separate review because it has the highest average delay gap at 1.99 days. Standard Class carries the largest shipment volume and performs comparatively better, with 60.23 percent of shipments on time or early.</w:t>
      </w:r>
    </w:p>
    <w:p>
      <w:r>
        <w:t>Regional decisions should not be made from delay rate alone. Central Africa had the highest rate at 60.70 percent, while Western Europe had 27,109 shipments and a 58.52 percent delayed rate. The regional priority matrix in the dashboard balances volume and delay risk so managers can focus on the largest operational impact.</w:t>
      </w:r>
    </w:p>
    <w:p>
      <w:pPr>
        <w:pStyle w:val="Heading1"/>
      </w:pPr>
      <w:r>
        <w:t>Recommended actions</w:t>
      </w:r>
    </w:p>
    <w:p>
      <w:pPr>
        <w:pStyle w:val="ListBullet"/>
      </w:pPr>
      <w:r>
        <w:t>Validate whether First Class promised durations are realistic for the carrier and route combinations being used.</w:t>
      </w:r>
    </w:p>
    <w:p>
      <w:pPr>
        <w:pStyle w:val="ListBullet"/>
      </w:pPr>
      <w:r>
        <w:t>Investigate the causes of the Second Class average delay gap before changing service targets.</w:t>
      </w:r>
    </w:p>
    <w:p>
      <w:pPr>
        <w:pStyle w:val="ListBullet"/>
      </w:pPr>
      <w:r>
        <w:t>Use the dashboard before regional operations reviews to isolate high-volume and high-delay combinations.</w:t>
      </w:r>
    </w:p>
    <w:p>
      <w:pPr>
        <w:pStyle w:val="ListBullet"/>
      </w:pPr>
      <w:r>
        <w:t>Export filtered records from the dashboard when a regional or shipping-mode owner needs a detailed follow-up list.</w:t>
      </w:r>
    </w:p>
    <w:p>
      <w:pPr>
        <w:pStyle w:val="ListBullet"/>
      </w:pPr>
      <w:r>
        <w:t>Report calculated delay performance and the source risk flag as separate measures.</w:t>
      </w:r>
    </w:p>
    <w:p>
      <w:pPr>
        <w:pStyle w:val="Heading1"/>
      </w:pPr>
      <w:r>
        <w:t>What stakeholders can use now</w:t>
      </w:r>
    </w:p>
    <w:p>
      <w:r>
        <w:t>The Streamlit dashboard is ready for local use. It provides KPI cards, delay distributions, shipping-mode comparison, regional and geographic risk views, a priority matrix, filter controls, a filtered-data download, and a machine-learning delay-risk estimate. The model achieved 69.8 percent validation accuracy and 0.740 ROC-AUC on historical held-out data. It supports prioritization, not automatic decisions or a guarantee of future delivery outcomes.</w:t>
      </w:r>
    </w:p>
    <w:p>
      <w:pPr>
        <w:pStyle w:val="ListBullet"/>
      </w:pPr>
      <w:r>
        <w:t>Viewer users can review the dashboard overview and operational metrics.</w:t>
      </w:r>
    </w:p>
    <w:p>
      <w:pPr>
        <w:pStyle w:val="ListBullet"/>
      </w:pPr>
      <w:r>
        <w:t>Analyst users can export filtered data and use delay prediction and route-planning tools.</w:t>
      </w:r>
    </w:p>
    <w:p>
      <w:pPr>
        <w:pStyle w:val="ListBullet"/>
      </w:pPr>
      <w:r>
        <w:t>Admin users can refresh the local SQLite database that supports the FastAPI health, summary, and shipment endpoints.</w:t>
      </w:r>
    </w:p>
    <w:p>
      <w:pPr>
        <w:pStyle w:val="ListBullet"/>
      </w:pPr>
      <w:r>
        <w:t>The route-planning feature is a customer-coordinate simulator, not a real road, traffic, or carrier-cost optimizer.</w:t>
      </w:r>
    </w:p>
    <w:p>
      <w:pPr>
        <w:pStyle w:val="Heading1"/>
      </w:pPr>
      <w:r>
        <w:t>Scope note</w:t>
      </w:r>
    </w:p>
    <w:p>
      <w:r>
        <w:t>The supplied data has no order or delivery date field, so the dashboard intentionally does not provide date-range filtering or time-trend analysis. The SQLite database, FastAPI service, and role login are local prototype components. A public deployment requires managed authentication, HTTPS, secret storage, backups, rate limits, and a hosted database.</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