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4868B3" w14:textId="77777777" w:rsidR="007F0B23" w:rsidRDefault="00B83D9F">
      <w:pPr>
        <w:pStyle w:val="Normal2"/>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Initialization and Planning Phase</w:t>
      </w:r>
    </w:p>
    <w:p w14:paraId="7AE58340" w14:textId="77777777" w:rsidR="007F0B23" w:rsidRDefault="007F0B23">
      <w:pPr>
        <w:pStyle w:val="Normal2"/>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tbl>
      <w:tblPr>
        <w:tblStyle w:val="a1"/>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7F0B23" w14:paraId="73E4723F" w14:textId="77777777">
        <w:trPr>
          <w:cantSplit/>
          <w:trHeight w:val="278"/>
          <w:tblHeader/>
        </w:trPr>
        <w:tc>
          <w:tcPr>
            <w:tcW w:w="4515" w:type="dxa"/>
            <w:shd w:val="clear" w:color="auto" w:fill="auto"/>
            <w:tcMar>
              <w:top w:w="100" w:type="dxa"/>
              <w:left w:w="100" w:type="dxa"/>
              <w:bottom w:w="100" w:type="dxa"/>
              <w:right w:w="100" w:type="dxa"/>
            </w:tcMar>
          </w:tcPr>
          <w:p w14:paraId="779C64B7" w14:textId="77777777" w:rsidR="007F0B23" w:rsidRDefault="00B83D9F">
            <w:pPr>
              <w:pStyle w:val="Normal2"/>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shd w:val="clear" w:color="auto" w:fill="auto"/>
            <w:tcMar>
              <w:top w:w="100" w:type="dxa"/>
              <w:left w:w="100" w:type="dxa"/>
              <w:bottom w:w="100" w:type="dxa"/>
              <w:right w:w="100" w:type="dxa"/>
            </w:tcMar>
          </w:tcPr>
          <w:p w14:paraId="45D0BCB6" w14:textId="77777777" w:rsidR="007F0B23" w:rsidRDefault="00265D29" w:rsidP="00265D29">
            <w:pPr>
              <w:pStyle w:val="Normal2"/>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Master of Computer Application</w:t>
            </w:r>
          </w:p>
        </w:tc>
      </w:tr>
      <w:tr w:rsidR="007F0B23" w14:paraId="19F9D029" w14:textId="77777777">
        <w:trPr>
          <w:cantSplit/>
          <w:trHeight w:val="278"/>
          <w:tblHeader/>
        </w:trPr>
        <w:tc>
          <w:tcPr>
            <w:tcW w:w="4515" w:type="dxa"/>
            <w:shd w:val="clear" w:color="auto" w:fill="auto"/>
            <w:tcMar>
              <w:top w:w="100" w:type="dxa"/>
              <w:left w:w="100" w:type="dxa"/>
              <w:bottom w:w="100" w:type="dxa"/>
              <w:right w:w="100" w:type="dxa"/>
            </w:tcMar>
          </w:tcPr>
          <w:p w14:paraId="1DFFDCD1" w14:textId="77777777" w:rsidR="007F0B23" w:rsidRDefault="00B83D9F">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shd w:val="clear" w:color="auto" w:fill="auto"/>
            <w:tcMar>
              <w:top w:w="100" w:type="dxa"/>
              <w:left w:w="100" w:type="dxa"/>
              <w:bottom w:w="100" w:type="dxa"/>
              <w:right w:w="100" w:type="dxa"/>
            </w:tcMar>
          </w:tcPr>
          <w:p w14:paraId="7BC6F033" w14:textId="77777777" w:rsidR="007F0B23" w:rsidRDefault="00B83D9F">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Online Learning Engagement and Student Performance Analysis</w:t>
            </w:r>
          </w:p>
        </w:tc>
      </w:tr>
      <w:tr w:rsidR="007F0B23" w14:paraId="33BF32AB" w14:textId="77777777">
        <w:trPr>
          <w:cantSplit/>
          <w:trHeight w:val="278"/>
          <w:tblHeader/>
        </w:trPr>
        <w:tc>
          <w:tcPr>
            <w:tcW w:w="4515" w:type="dxa"/>
            <w:shd w:val="clear" w:color="auto" w:fill="auto"/>
            <w:tcMar>
              <w:top w:w="100" w:type="dxa"/>
              <w:left w:w="100" w:type="dxa"/>
              <w:bottom w:w="100" w:type="dxa"/>
              <w:right w:w="100" w:type="dxa"/>
            </w:tcMar>
          </w:tcPr>
          <w:p w14:paraId="1FB383A5" w14:textId="77777777" w:rsidR="007F0B23" w:rsidRDefault="00B83D9F">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4515" w:type="dxa"/>
            <w:shd w:val="clear" w:color="auto" w:fill="auto"/>
            <w:tcMar>
              <w:top w:w="100" w:type="dxa"/>
              <w:left w:w="100" w:type="dxa"/>
              <w:bottom w:w="100" w:type="dxa"/>
              <w:right w:w="100" w:type="dxa"/>
            </w:tcMar>
          </w:tcPr>
          <w:p w14:paraId="44CE271C" w14:textId="77777777" w:rsidR="007F0B23" w:rsidRDefault="00B83D9F">
            <w:pPr>
              <w:pStyle w:val="Normal2"/>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Marks</w:t>
            </w:r>
          </w:p>
        </w:tc>
      </w:tr>
    </w:tbl>
    <w:p w14:paraId="49078743" w14:textId="77777777" w:rsidR="007F0B23" w:rsidRDefault="007F0B23">
      <w:pPr>
        <w:pStyle w:val="Normal2"/>
        <w:widowControl w:val="0"/>
        <w:pBdr>
          <w:top w:val="nil"/>
          <w:left w:val="nil"/>
          <w:bottom w:val="nil"/>
          <w:right w:val="nil"/>
          <w:between w:val="nil"/>
        </w:pBdr>
        <w:rPr>
          <w:rFonts w:ascii="Times New Roman" w:eastAsia="Times New Roman" w:hAnsi="Times New Roman" w:cs="Times New Roman"/>
          <w:color w:val="000000"/>
        </w:rPr>
      </w:pPr>
    </w:p>
    <w:p w14:paraId="40DCF792" w14:textId="77777777" w:rsidR="00265D29" w:rsidRDefault="00265D29">
      <w:pPr>
        <w:pStyle w:val="Normal2"/>
        <w:widowControl w:val="0"/>
        <w:pBdr>
          <w:top w:val="nil"/>
          <w:left w:val="nil"/>
          <w:bottom w:val="nil"/>
          <w:right w:val="nil"/>
          <w:between w:val="nil"/>
        </w:pBdr>
        <w:spacing w:line="240" w:lineRule="auto"/>
        <w:ind w:left="9"/>
        <w:rPr>
          <w:rFonts w:ascii="Times New Roman" w:eastAsia="Times New Roman" w:hAnsi="Times New Roman" w:cs="Times New Roman"/>
          <w:b/>
          <w:bCs/>
          <w:sz w:val="24"/>
          <w:szCs w:val="24"/>
        </w:rPr>
      </w:pPr>
    </w:p>
    <w:p w14:paraId="78127AE5" w14:textId="3C7F8F58" w:rsidR="007F0B23" w:rsidRDefault="00B83D9F">
      <w:pPr>
        <w:pStyle w:val="Normal2"/>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Define Problem Statements (</w:t>
      </w:r>
      <w:r w:rsidR="00A00F3C">
        <w:rPr>
          <w:rFonts w:ascii="Times New Roman" w:eastAsia="Times New Roman" w:hAnsi="Times New Roman" w:cs="Times New Roman"/>
          <w:b/>
          <w:bCs/>
          <w:color w:val="000000"/>
          <w:sz w:val="24"/>
          <w:szCs w:val="24"/>
        </w:rPr>
        <w:t xml:space="preserve">Student </w:t>
      </w:r>
      <w:r>
        <w:rPr>
          <w:rFonts w:ascii="Times New Roman" w:eastAsia="Times New Roman" w:hAnsi="Times New Roman" w:cs="Times New Roman"/>
          <w:b/>
          <w:bCs/>
          <w:color w:val="000000"/>
          <w:sz w:val="24"/>
          <w:szCs w:val="24"/>
        </w:rPr>
        <w:t xml:space="preserve">Problem Statement Template): </w:t>
      </w:r>
    </w:p>
    <w:p w14:paraId="7801A1BE" w14:textId="77777777" w:rsidR="007F0B23" w:rsidRDefault="007F0B23">
      <w:pPr>
        <w:pStyle w:val="Normal2"/>
        <w:widowControl w:val="0"/>
        <w:pBdr>
          <w:top w:val="nil"/>
          <w:left w:val="nil"/>
          <w:bottom w:val="nil"/>
          <w:right w:val="nil"/>
          <w:between w:val="nil"/>
        </w:pBdr>
        <w:spacing w:line="120" w:lineRule="auto"/>
        <w:ind w:left="9"/>
        <w:rPr>
          <w:rFonts w:ascii="Times New Roman" w:eastAsia="Times New Roman" w:hAnsi="Times New Roman" w:cs="Times New Roman"/>
          <w:b/>
          <w:bCs/>
          <w:sz w:val="24"/>
          <w:szCs w:val="24"/>
        </w:rPr>
      </w:pPr>
    </w:p>
    <w:p w14:paraId="71A6EE48" w14:textId="6A7EEDC6" w:rsidR="007F0B23" w:rsidRDefault="00B83D9F">
      <w:pPr>
        <w:pStyle w:val="Normal2"/>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A </w:t>
      </w:r>
      <w:r w:rsidR="00A00F3C">
        <w:rPr>
          <w:rFonts w:ascii="Times New Roman" w:eastAsia="Times New Roman" w:hAnsi="Times New Roman" w:cs="Times New Roman"/>
          <w:color w:val="000000"/>
        </w:rPr>
        <w:t xml:space="preserve">student </w:t>
      </w:r>
      <w:r>
        <w:rPr>
          <w:rFonts w:ascii="Times New Roman" w:eastAsia="Times New Roman" w:hAnsi="Times New Roman" w:cs="Times New Roman"/>
          <w:color w:val="000000"/>
        </w:rPr>
        <w:t xml:space="preserve">problem statement describes a real challenge from the </w:t>
      </w:r>
      <w:r w:rsidR="00CD07C9">
        <w:rPr>
          <w:rFonts w:ascii="Times New Roman" w:eastAsia="Times New Roman" w:hAnsi="Times New Roman" w:cs="Times New Roman"/>
          <w:color w:val="000000"/>
        </w:rPr>
        <w:t>student’</w:t>
      </w:r>
      <w:r>
        <w:rPr>
          <w:rFonts w:ascii="Times New Roman" w:eastAsia="Times New Roman" w:hAnsi="Times New Roman" w:cs="Times New Roman"/>
          <w:color w:val="000000"/>
        </w:rPr>
        <w:t xml:space="preserve">s point of view: who they are, what they are trying to achieve, what gets in the way, why it happens and how it makes them feel. For the Online Learning Engagement and Student Performance Analysis project, the </w:t>
      </w:r>
      <w:r w:rsidR="00CD07C9">
        <w:rPr>
          <w:rFonts w:ascii="Times New Roman" w:eastAsia="Times New Roman" w:hAnsi="Times New Roman" w:cs="Times New Roman"/>
          <w:color w:val="000000"/>
        </w:rPr>
        <w:t xml:space="preserve">students </w:t>
      </w:r>
      <w:r>
        <w:rPr>
          <w:rFonts w:ascii="Times New Roman" w:eastAsia="Times New Roman" w:hAnsi="Times New Roman" w:cs="Times New Roman"/>
          <w:color w:val="000000"/>
        </w:rPr>
        <w:t xml:space="preserve">are the instructors, student-support advisers, </w:t>
      </w:r>
      <w:r w:rsidR="00265D29">
        <w:rPr>
          <w:rFonts w:ascii="Times New Roman" w:eastAsia="Times New Roman" w:hAnsi="Times New Roman" w:cs="Times New Roman"/>
          <w:color w:val="000000"/>
        </w:rPr>
        <w:t>programmers</w:t>
      </w:r>
      <w:r>
        <w:rPr>
          <w:rFonts w:ascii="Times New Roman" w:eastAsia="Times New Roman" w:hAnsi="Times New Roman" w:cs="Times New Roman"/>
          <w:color w:val="000000"/>
        </w:rPr>
        <w:t xml:space="preserve"> managers and learners of an online learning </w:t>
      </w:r>
      <w:r w:rsidR="00265D29">
        <w:rPr>
          <w:rFonts w:ascii="Times New Roman" w:eastAsia="Times New Roman" w:hAnsi="Times New Roman" w:cs="Times New Roman"/>
          <w:color w:val="000000"/>
        </w:rPr>
        <w:t>programmer</w:t>
      </w:r>
      <w:r>
        <w:rPr>
          <w:rFonts w:ascii="Times New Roman" w:eastAsia="Times New Roman" w:hAnsi="Times New Roman" w:cs="Times New Roman"/>
          <w:color w:val="000000"/>
        </w:rPr>
        <w:t>. The problem statements below are based on the Power BI analysis of 22,422 students and define what the dashboards must show so that low engagement, dropout risk and gaps in performance can be spotted and acted on early.</w:t>
      </w:r>
    </w:p>
    <w:p w14:paraId="2C102E87" w14:textId="77777777" w:rsidR="00265D29" w:rsidRDefault="00265D29">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14:paraId="03D5B9F4" w14:textId="77777777" w:rsidR="00265D29" w:rsidRDefault="00265D29">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14:paraId="394B6F00" w14:textId="77777777" w:rsidR="007F0B23" w:rsidRDefault="00B83D9F">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76233999" wp14:editId="40658C88">
            <wp:extent cx="4452938" cy="2078531"/>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452938" cy="2078531"/>
                    </a:xfrm>
                    <a:prstGeom prst="rect">
                      <a:avLst/>
                    </a:prstGeom>
                    <a:ln/>
                  </pic:spPr>
                </pic:pic>
              </a:graphicData>
            </a:graphic>
          </wp:inline>
        </w:drawing>
      </w:r>
    </w:p>
    <w:p w14:paraId="1DEE3708" w14:textId="77777777" w:rsidR="00265D29" w:rsidRDefault="00265D29">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p>
    <w:p w14:paraId="56C1F430" w14:textId="77777777" w:rsidR="007F0B23" w:rsidRDefault="00B83D9F">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Problem Context (from the Power BI analysis):</w:t>
      </w:r>
    </w:p>
    <w:p w14:paraId="69C1BDCF"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22,422 students</w:t>
      </w:r>
      <w:r>
        <w:rPr>
          <w:rFonts w:ascii="Times New Roman" w:eastAsia="Times New Roman" w:hAnsi="Times New Roman" w:cs="Times New Roman"/>
          <w:color w:val="000000"/>
        </w:rPr>
        <w:t xml:space="preserve"> are spread across three engagement levels: Medium (37.46%), High (33.95%) and Low (28.59%), so about two-thirds of learners are not highly engaged.</w:t>
      </w:r>
    </w:p>
    <w:p w14:paraId="489BAF60"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Engagement is linked to results:</w:t>
      </w:r>
      <w:r>
        <w:rPr>
          <w:rFonts w:ascii="Times New Roman" w:eastAsia="Times New Roman" w:hAnsi="Times New Roman" w:cs="Times New Roman"/>
          <w:color w:val="000000"/>
        </w:rPr>
        <w:t xml:space="preserve"> high-engagement students fail or withdraw about half as often as students overall (about 22% versus roughly 40%).</w:t>
      </w:r>
    </w:p>
    <w:p w14:paraId="17A3D569"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10,691 students (about 48%)</w:t>
      </w:r>
      <w:r>
        <w:rPr>
          <w:rFonts w:ascii="Times New Roman" w:eastAsia="Times New Roman" w:hAnsi="Times New Roman" w:cs="Times New Roman"/>
          <w:color w:val="000000"/>
        </w:rPr>
        <w:t xml:space="preserve"> are at High or Very High risk of failing or dropping out.</w:t>
      </w:r>
    </w:p>
    <w:p w14:paraId="033EE754"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Prior education shapes outcomes:</w:t>
      </w:r>
      <w:r>
        <w:rPr>
          <w:rFonts w:ascii="Times New Roman" w:eastAsia="Times New Roman" w:hAnsi="Times New Roman" w:cs="Times New Roman"/>
          <w:color w:val="000000"/>
        </w:rPr>
        <w:t xml:space="preserve"> students with no formal qualifications show about 28% dropout and about 42% pass rate, compared with about 18% and 67% for post-graduates.</w:t>
      </w:r>
    </w:p>
    <w:p w14:paraId="1F3D2E40"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Region is not the differentiator:</w:t>
      </w:r>
      <w:r>
        <w:rPr>
          <w:rFonts w:ascii="Times New Roman" w:eastAsia="Times New Roman" w:hAnsi="Times New Roman" w:cs="Times New Roman"/>
          <w:color w:val="000000"/>
        </w:rPr>
        <w:t xml:space="preserve"> average scores are roughly 71–75 in all 13 regions.</w:t>
      </w:r>
    </w:p>
    <w:p w14:paraId="09241197" w14:textId="77777777" w:rsidR="00265D29" w:rsidRDefault="00265D29">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p>
    <w:p w14:paraId="47C38B26" w14:textId="77777777" w:rsidR="007F0B23" w:rsidRDefault="00B83D9F">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Problem Statements:</w:t>
      </w:r>
    </w:p>
    <w:p w14:paraId="33BDFA9C" w14:textId="77777777" w:rsidR="007F0B23" w:rsidRDefault="007F0B23">
      <w:pPr>
        <w:pStyle w:val="Normal2"/>
        <w:keepNext/>
        <w:spacing w:line="120" w:lineRule="auto"/>
      </w:pPr>
    </w:p>
    <w:tbl>
      <w:tblPr>
        <w:tblStyle w:val="a2"/>
        <w:tblW w:w="88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0"/>
        <w:gridCol w:w="1350"/>
        <w:gridCol w:w="1650"/>
        <w:gridCol w:w="1700"/>
        <w:gridCol w:w="1700"/>
        <w:gridCol w:w="1305"/>
      </w:tblGrid>
      <w:tr w:rsidR="007F0B23" w14:paraId="3E356A79" w14:textId="77777777">
        <w:trPr>
          <w:cantSplit/>
          <w:tblHeader/>
        </w:trPr>
        <w:tc>
          <w:tcPr>
            <w:tcW w:w="1100" w:type="dxa"/>
            <w:tcMar>
              <w:top w:w="80" w:type="dxa"/>
              <w:left w:w="80" w:type="dxa"/>
              <w:bottom w:w="80" w:type="dxa"/>
              <w:right w:w="80" w:type="dxa"/>
            </w:tcMar>
            <w:vAlign w:val="center"/>
          </w:tcPr>
          <w:p w14:paraId="1A44094B"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Problem Statement (PS)</w:t>
            </w:r>
          </w:p>
        </w:tc>
        <w:tc>
          <w:tcPr>
            <w:tcW w:w="1350" w:type="dxa"/>
            <w:tcMar>
              <w:top w:w="80" w:type="dxa"/>
              <w:left w:w="80" w:type="dxa"/>
              <w:bottom w:w="80" w:type="dxa"/>
              <w:right w:w="80" w:type="dxa"/>
            </w:tcMar>
            <w:vAlign w:val="center"/>
          </w:tcPr>
          <w:p w14:paraId="3F2534D3"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I am (Customer)</w:t>
            </w:r>
          </w:p>
        </w:tc>
        <w:tc>
          <w:tcPr>
            <w:tcW w:w="1650" w:type="dxa"/>
            <w:tcMar>
              <w:top w:w="80" w:type="dxa"/>
              <w:left w:w="80" w:type="dxa"/>
              <w:bottom w:w="80" w:type="dxa"/>
              <w:right w:w="80" w:type="dxa"/>
            </w:tcMar>
            <w:vAlign w:val="center"/>
          </w:tcPr>
          <w:p w14:paraId="11684D6F"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I’m trying to</w:t>
            </w:r>
          </w:p>
        </w:tc>
        <w:tc>
          <w:tcPr>
            <w:tcW w:w="1700" w:type="dxa"/>
            <w:tcMar>
              <w:top w:w="80" w:type="dxa"/>
              <w:left w:w="80" w:type="dxa"/>
              <w:bottom w:w="80" w:type="dxa"/>
              <w:right w:w="80" w:type="dxa"/>
            </w:tcMar>
            <w:vAlign w:val="center"/>
          </w:tcPr>
          <w:p w14:paraId="696F5970"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But</w:t>
            </w:r>
          </w:p>
        </w:tc>
        <w:tc>
          <w:tcPr>
            <w:tcW w:w="1700" w:type="dxa"/>
            <w:tcMar>
              <w:top w:w="80" w:type="dxa"/>
              <w:left w:w="80" w:type="dxa"/>
              <w:bottom w:w="80" w:type="dxa"/>
              <w:right w:w="80" w:type="dxa"/>
            </w:tcMar>
            <w:vAlign w:val="center"/>
          </w:tcPr>
          <w:p w14:paraId="6FC70DC7"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Because</w:t>
            </w:r>
          </w:p>
        </w:tc>
        <w:tc>
          <w:tcPr>
            <w:tcW w:w="1305" w:type="dxa"/>
            <w:tcMar>
              <w:top w:w="80" w:type="dxa"/>
              <w:left w:w="80" w:type="dxa"/>
              <w:bottom w:w="80" w:type="dxa"/>
              <w:right w:w="80" w:type="dxa"/>
            </w:tcMar>
            <w:vAlign w:val="center"/>
          </w:tcPr>
          <w:p w14:paraId="4268814E"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Which makes me feel</w:t>
            </w:r>
          </w:p>
        </w:tc>
      </w:tr>
      <w:tr w:rsidR="007F0B23" w14:paraId="0FA0A99C" w14:textId="77777777">
        <w:trPr>
          <w:cantSplit/>
        </w:trPr>
        <w:tc>
          <w:tcPr>
            <w:tcW w:w="1100" w:type="dxa"/>
            <w:tcMar>
              <w:top w:w="80" w:type="dxa"/>
              <w:left w:w="80" w:type="dxa"/>
              <w:bottom w:w="80" w:type="dxa"/>
              <w:right w:w="80" w:type="dxa"/>
            </w:tcMar>
          </w:tcPr>
          <w:p w14:paraId="22427555"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PS-1</w:t>
            </w:r>
          </w:p>
        </w:tc>
        <w:tc>
          <w:tcPr>
            <w:tcW w:w="1350" w:type="dxa"/>
            <w:tcMar>
              <w:top w:w="80" w:type="dxa"/>
              <w:left w:w="80" w:type="dxa"/>
              <w:bottom w:w="80" w:type="dxa"/>
              <w:right w:w="80" w:type="dxa"/>
            </w:tcMar>
          </w:tcPr>
          <w:p w14:paraId="6A9BFB65"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course instructor at an online learning provider</w:t>
            </w:r>
          </w:p>
        </w:tc>
        <w:tc>
          <w:tcPr>
            <w:tcW w:w="1650" w:type="dxa"/>
            <w:tcMar>
              <w:top w:w="80" w:type="dxa"/>
              <w:left w:w="80" w:type="dxa"/>
              <w:bottom w:w="80" w:type="dxa"/>
              <w:right w:w="80" w:type="dxa"/>
            </w:tcMar>
          </w:tcPr>
          <w:p w14:paraId="7D083066"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Spot students who are losing interest early and keep them on track to finish the course</w:t>
            </w:r>
          </w:p>
        </w:tc>
        <w:tc>
          <w:tcPr>
            <w:tcW w:w="1700" w:type="dxa"/>
            <w:tcMar>
              <w:top w:w="80" w:type="dxa"/>
              <w:left w:w="80" w:type="dxa"/>
              <w:bottom w:w="80" w:type="dxa"/>
              <w:right w:w="80" w:type="dxa"/>
            </w:tcMar>
          </w:tcPr>
          <w:p w14:paraId="3E35A9AC"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28.59% of students (6,410) are at Low engagement and 37.46% more are at Medium, so many struggle without anyone noticing</w:t>
            </w:r>
          </w:p>
        </w:tc>
        <w:tc>
          <w:tcPr>
            <w:tcW w:w="1700" w:type="dxa"/>
            <w:tcMar>
              <w:top w:w="80" w:type="dxa"/>
              <w:left w:w="80" w:type="dxa"/>
              <w:bottom w:w="80" w:type="dxa"/>
              <w:right w:w="80" w:type="dxa"/>
            </w:tcMar>
          </w:tcPr>
          <w:p w14:paraId="2BBB05A0"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Activity data such as clicks is not linked to results in one view, so warning signs are seen too late</w:t>
            </w:r>
          </w:p>
        </w:tc>
        <w:tc>
          <w:tcPr>
            <w:tcW w:w="1305" w:type="dxa"/>
            <w:tcMar>
              <w:top w:w="80" w:type="dxa"/>
              <w:left w:w="80" w:type="dxa"/>
              <w:bottom w:w="80" w:type="dxa"/>
              <w:right w:w="80" w:type="dxa"/>
            </w:tcMar>
          </w:tcPr>
          <w:p w14:paraId="40D3924F"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Worried and reactive, because I only see the problem after students fail or withdraw</w:t>
            </w:r>
          </w:p>
        </w:tc>
      </w:tr>
      <w:tr w:rsidR="007F0B23" w14:paraId="56D9681B" w14:textId="77777777">
        <w:trPr>
          <w:cantSplit/>
        </w:trPr>
        <w:tc>
          <w:tcPr>
            <w:tcW w:w="1100" w:type="dxa"/>
            <w:tcMar>
              <w:top w:w="80" w:type="dxa"/>
              <w:left w:w="80" w:type="dxa"/>
              <w:bottom w:w="80" w:type="dxa"/>
              <w:right w:w="80" w:type="dxa"/>
            </w:tcMar>
          </w:tcPr>
          <w:p w14:paraId="21976F09"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PS-2</w:t>
            </w:r>
          </w:p>
        </w:tc>
        <w:tc>
          <w:tcPr>
            <w:tcW w:w="1350" w:type="dxa"/>
            <w:tcMar>
              <w:top w:w="80" w:type="dxa"/>
              <w:left w:w="80" w:type="dxa"/>
              <w:bottom w:w="80" w:type="dxa"/>
              <w:right w:w="80" w:type="dxa"/>
            </w:tcMar>
          </w:tcPr>
          <w:p w14:paraId="498B69EF"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student-support adviser</w:t>
            </w:r>
          </w:p>
        </w:tc>
        <w:tc>
          <w:tcPr>
            <w:tcW w:w="1650" w:type="dxa"/>
            <w:tcMar>
              <w:top w:w="80" w:type="dxa"/>
              <w:left w:w="80" w:type="dxa"/>
              <w:bottom w:w="80" w:type="dxa"/>
              <w:right w:w="80" w:type="dxa"/>
            </w:tcMar>
          </w:tcPr>
          <w:p w14:paraId="046BE279"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Focus my limited time on the learners most likely to drop out</w:t>
            </w:r>
          </w:p>
        </w:tc>
        <w:tc>
          <w:tcPr>
            <w:tcW w:w="1700" w:type="dxa"/>
            <w:tcMar>
              <w:top w:w="80" w:type="dxa"/>
              <w:left w:w="80" w:type="dxa"/>
              <w:bottom w:w="80" w:type="dxa"/>
              <w:right w:w="80" w:type="dxa"/>
            </w:tcMar>
          </w:tcPr>
          <w:p w14:paraId="39DBFDF8"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About 48% of students (10,691) are at High or Very High risk, which is too many to support one by one</w:t>
            </w:r>
          </w:p>
        </w:tc>
        <w:tc>
          <w:tcPr>
            <w:tcW w:w="1700" w:type="dxa"/>
            <w:tcMar>
              <w:top w:w="80" w:type="dxa"/>
              <w:left w:w="80" w:type="dxa"/>
              <w:bottom w:w="80" w:type="dxa"/>
              <w:right w:w="80" w:type="dxa"/>
            </w:tcMar>
          </w:tcPr>
          <w:p w14:paraId="47AAEDE8"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There is no simple way to filter risk by education, gender, region and engagement to pick priority groups</w:t>
            </w:r>
          </w:p>
        </w:tc>
        <w:tc>
          <w:tcPr>
            <w:tcW w:w="1305" w:type="dxa"/>
            <w:tcMar>
              <w:top w:w="80" w:type="dxa"/>
              <w:left w:w="80" w:type="dxa"/>
              <w:bottom w:w="80" w:type="dxa"/>
              <w:right w:w="80" w:type="dxa"/>
            </w:tcMar>
          </w:tcPr>
          <w:p w14:paraId="0375BCD2"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Overwhelmed and unsure where to start</w:t>
            </w:r>
          </w:p>
        </w:tc>
      </w:tr>
      <w:tr w:rsidR="007F0B23" w14:paraId="13F04F8F" w14:textId="77777777">
        <w:trPr>
          <w:cantSplit/>
        </w:trPr>
        <w:tc>
          <w:tcPr>
            <w:tcW w:w="1100" w:type="dxa"/>
            <w:tcMar>
              <w:top w:w="80" w:type="dxa"/>
              <w:left w:w="80" w:type="dxa"/>
              <w:bottom w:w="80" w:type="dxa"/>
              <w:right w:w="80" w:type="dxa"/>
            </w:tcMar>
          </w:tcPr>
          <w:p w14:paraId="6D7BA6E7"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PS-3</w:t>
            </w:r>
          </w:p>
        </w:tc>
        <w:tc>
          <w:tcPr>
            <w:tcW w:w="1350" w:type="dxa"/>
            <w:tcMar>
              <w:top w:w="80" w:type="dxa"/>
              <w:left w:w="80" w:type="dxa"/>
              <w:bottom w:w="80" w:type="dxa"/>
              <w:right w:w="80" w:type="dxa"/>
            </w:tcMar>
          </w:tcPr>
          <w:p w14:paraId="3BBED69E"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learner with no formal qualifications, studying online</w:t>
            </w:r>
          </w:p>
        </w:tc>
        <w:tc>
          <w:tcPr>
            <w:tcW w:w="1650" w:type="dxa"/>
            <w:tcMar>
              <w:top w:w="80" w:type="dxa"/>
              <w:left w:w="80" w:type="dxa"/>
              <w:bottom w:w="80" w:type="dxa"/>
              <w:right w:w="80" w:type="dxa"/>
            </w:tcMar>
          </w:tcPr>
          <w:p w14:paraId="233C380D"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Keep up with the course and pass it</w:t>
            </w:r>
          </w:p>
        </w:tc>
        <w:tc>
          <w:tcPr>
            <w:tcW w:w="1700" w:type="dxa"/>
            <w:tcMar>
              <w:top w:w="80" w:type="dxa"/>
              <w:left w:w="80" w:type="dxa"/>
              <w:bottom w:w="80" w:type="dxa"/>
              <w:right w:w="80" w:type="dxa"/>
            </w:tcMar>
          </w:tcPr>
          <w:p w14:paraId="583F1D98"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Learners like me drop out at about 28% and pass at only about 42%, against about 18% and 67% for post-graduates</w:t>
            </w:r>
          </w:p>
        </w:tc>
        <w:tc>
          <w:tcPr>
            <w:tcW w:w="1700" w:type="dxa"/>
            <w:tcMar>
              <w:top w:w="80" w:type="dxa"/>
              <w:left w:w="80" w:type="dxa"/>
              <w:bottom w:w="80" w:type="dxa"/>
              <w:right w:w="80" w:type="dxa"/>
            </w:tcMar>
          </w:tcPr>
          <w:p w14:paraId="085F2604"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I have little prior study experience and receive little guidance matched to my starting point</w:t>
            </w:r>
          </w:p>
        </w:tc>
        <w:tc>
          <w:tcPr>
            <w:tcW w:w="1305" w:type="dxa"/>
            <w:tcMar>
              <w:top w:w="80" w:type="dxa"/>
              <w:left w:w="80" w:type="dxa"/>
              <w:bottom w:w="80" w:type="dxa"/>
              <w:right w:w="80" w:type="dxa"/>
            </w:tcMar>
          </w:tcPr>
          <w:p w14:paraId="45421A1B"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Anxious and discouraged, as if I am more likely to fail</w:t>
            </w:r>
          </w:p>
        </w:tc>
      </w:tr>
      <w:tr w:rsidR="007F0B23" w14:paraId="6616A454" w14:textId="77777777">
        <w:trPr>
          <w:cantSplit/>
        </w:trPr>
        <w:tc>
          <w:tcPr>
            <w:tcW w:w="1100" w:type="dxa"/>
            <w:tcMar>
              <w:top w:w="80" w:type="dxa"/>
              <w:left w:w="80" w:type="dxa"/>
              <w:bottom w:w="80" w:type="dxa"/>
              <w:right w:w="80" w:type="dxa"/>
            </w:tcMar>
          </w:tcPr>
          <w:p w14:paraId="0528DAF3"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PS-4</w:t>
            </w:r>
          </w:p>
        </w:tc>
        <w:tc>
          <w:tcPr>
            <w:tcW w:w="1350" w:type="dxa"/>
            <w:tcMar>
              <w:top w:w="80" w:type="dxa"/>
              <w:left w:w="80" w:type="dxa"/>
              <w:bottom w:w="80" w:type="dxa"/>
              <w:right w:w="80" w:type="dxa"/>
            </w:tcMar>
          </w:tcPr>
          <w:p w14:paraId="0B644006"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programme manager responsible for online learning outcomes</w:t>
            </w:r>
          </w:p>
        </w:tc>
        <w:tc>
          <w:tcPr>
            <w:tcW w:w="1650" w:type="dxa"/>
            <w:tcMar>
              <w:top w:w="80" w:type="dxa"/>
              <w:left w:w="80" w:type="dxa"/>
              <w:bottom w:w="80" w:type="dxa"/>
              <w:right w:w="80" w:type="dxa"/>
            </w:tcMar>
          </w:tcPr>
          <w:p w14:paraId="1FF8CBF2"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Decide where to invest support and resources fairly across regions and student groups</w:t>
            </w:r>
          </w:p>
        </w:tc>
        <w:tc>
          <w:tcPr>
            <w:tcW w:w="1700" w:type="dxa"/>
            <w:tcMar>
              <w:top w:w="80" w:type="dxa"/>
              <w:left w:w="80" w:type="dxa"/>
              <w:bottom w:w="80" w:type="dxa"/>
              <w:right w:w="80" w:type="dxa"/>
            </w:tcMar>
          </w:tcPr>
          <w:p w14:paraId="26B4CB5F"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Average scores are almost the same in all 13 regions (roughly 71–75), so region does not show who needs help</w:t>
            </w:r>
          </w:p>
        </w:tc>
        <w:tc>
          <w:tcPr>
            <w:tcW w:w="1700" w:type="dxa"/>
            <w:tcMar>
              <w:top w:w="80" w:type="dxa"/>
              <w:left w:w="80" w:type="dxa"/>
              <w:bottom w:w="80" w:type="dxa"/>
              <w:right w:w="80" w:type="dxa"/>
            </w:tcMar>
          </w:tcPr>
          <w:p w14:paraId="00EAC7CB"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The real gaps lie in engagement, prior education and risk level, which a regional view hides</w:t>
            </w:r>
          </w:p>
        </w:tc>
        <w:tc>
          <w:tcPr>
            <w:tcW w:w="1305" w:type="dxa"/>
            <w:tcMar>
              <w:top w:w="80" w:type="dxa"/>
              <w:left w:w="80" w:type="dxa"/>
              <w:bottom w:w="80" w:type="dxa"/>
              <w:right w:w="80" w:type="dxa"/>
            </w:tcMar>
          </w:tcPr>
          <w:p w14:paraId="49FF66C6"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Uncertain about where extra effort will make the biggest difference</w:t>
            </w:r>
          </w:p>
        </w:tc>
      </w:tr>
    </w:tbl>
    <w:p w14:paraId="0DAB0D20" w14:textId="77777777" w:rsidR="007F0B23" w:rsidRDefault="007F0B23">
      <w:pPr>
        <w:pStyle w:val="Normal2"/>
        <w:widowControl w:val="0"/>
        <w:pBdr>
          <w:top w:val="nil"/>
          <w:left w:val="nil"/>
          <w:bottom w:val="nil"/>
          <w:right w:val="nil"/>
          <w:between w:val="nil"/>
        </w:pBdr>
        <w:rPr>
          <w:rFonts w:ascii="Times New Roman" w:eastAsia="Times New Roman" w:hAnsi="Times New Roman" w:cs="Times New Roman"/>
          <w:color w:val="000000"/>
        </w:rPr>
      </w:pPr>
    </w:p>
    <w:sectPr w:rsidR="007F0B23" w:rsidSect="007F0B23">
      <w:headerReference w:type="default" r:id="rId9"/>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B3AEA6" w14:textId="77777777" w:rsidR="005705C6" w:rsidRDefault="005705C6" w:rsidP="007F0B23">
      <w:pPr>
        <w:spacing w:line="240" w:lineRule="auto"/>
      </w:pPr>
      <w:r>
        <w:separator/>
      </w:r>
    </w:p>
  </w:endnote>
  <w:endnote w:type="continuationSeparator" w:id="0">
    <w:p w14:paraId="1FBBDAD3" w14:textId="77777777" w:rsidR="005705C6" w:rsidRDefault="005705C6" w:rsidP="007F0B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385D76D-67A0-421F-93B8-11AA62D3D96E}"/>
  </w:font>
  <w:font w:name="Tahoma">
    <w:panose1 w:val="020B0604030504040204"/>
    <w:charset w:val="00"/>
    <w:family w:val="swiss"/>
    <w:pitch w:val="variable"/>
    <w:sig w:usb0="E1002EFF" w:usb1="C000605B" w:usb2="00000029" w:usb3="00000000" w:csb0="000101FF" w:csb1="00000000"/>
    <w:embedRegular r:id="rId2" w:fontKey="{5EEA8F00-9967-4DC2-8281-BF5591530E62}"/>
  </w:font>
  <w:font w:name="Calibri">
    <w:panose1 w:val="020F0502020204030204"/>
    <w:charset w:val="00"/>
    <w:family w:val="swiss"/>
    <w:pitch w:val="variable"/>
    <w:sig w:usb0="E4002EFF" w:usb1="C200247B" w:usb2="00000009" w:usb3="00000000" w:csb0="000001FF" w:csb1="00000000"/>
    <w:embedRegular r:id="rId3" w:fontKey="{9E02142A-588D-4D35-85DA-44543FA0095B}"/>
  </w:font>
  <w:font w:name="Cambria">
    <w:panose1 w:val="02040503050406030204"/>
    <w:charset w:val="00"/>
    <w:family w:val="roman"/>
    <w:pitch w:val="variable"/>
    <w:sig w:usb0="E00006FF" w:usb1="420024FF" w:usb2="02000000" w:usb3="00000000" w:csb0="0000019F" w:csb1="00000000"/>
    <w:embedRegular r:id="rId4" w:fontKey="{9A5ECFFF-8A47-4F0D-A8A0-A27185FD901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9DC1E2" w14:textId="77777777" w:rsidR="005705C6" w:rsidRDefault="005705C6" w:rsidP="007F0B23">
      <w:pPr>
        <w:spacing w:line="240" w:lineRule="auto"/>
      </w:pPr>
      <w:r>
        <w:separator/>
      </w:r>
    </w:p>
  </w:footnote>
  <w:footnote w:type="continuationSeparator" w:id="0">
    <w:p w14:paraId="1A6004C2" w14:textId="77777777" w:rsidR="005705C6" w:rsidRDefault="005705C6" w:rsidP="007F0B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5307A" w14:textId="77777777" w:rsidR="007F0B23" w:rsidRDefault="007F0B23">
    <w:pPr>
      <w:pStyle w:val="Normal2"/>
      <w:widowControl w:val="0"/>
      <w:spacing w:line="240" w:lineRule="auto"/>
      <w:jc w:val="both"/>
      <w:rPr>
        <w:rFonts w:ascii="Calibri" w:eastAsia="Calibri" w:hAnsi="Calibri" w:cs="Calibri"/>
      </w:rPr>
    </w:pPr>
  </w:p>
  <w:p w14:paraId="5631B00E" w14:textId="77777777" w:rsidR="007F0B23" w:rsidRDefault="007F0B23">
    <w:pPr>
      <w:pStyle w:val="Normal2"/>
      <w:widowControl w:val="0"/>
      <w:spacing w:line="240" w:lineRule="auto"/>
      <w:rPr>
        <w:rFonts w:ascii="Calibri" w:eastAsia="Calibri" w:hAnsi="Calibri" w:cs="Calibri"/>
      </w:rPr>
    </w:pPr>
  </w:p>
  <w:p w14:paraId="4B3BECF7" w14:textId="77777777" w:rsidR="007F0B23" w:rsidRDefault="007F0B23">
    <w:pPr>
      <w:pStyle w:val="Normal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991A1A"/>
    <w:multiLevelType w:val="hybridMultilevel"/>
    <w:tmpl w:val="29865F36"/>
    <w:lvl w:ilvl="0" w:tplc="2640D86C">
      <w:start w:val="1"/>
      <w:numFmt w:val="bullet"/>
      <w:lvlText w:val="•"/>
      <w:lvlJc w:val="left"/>
      <w:pPr>
        <w:ind w:left="720" w:hanging="360"/>
      </w:pPr>
      <w:rPr>
        <w:rFonts w:ascii="Arial" w:hAnsi="Arial" w:cs="Arial"/>
      </w:rPr>
    </w:lvl>
    <w:lvl w:ilvl="1" w:tplc="66D445AE">
      <w:numFmt w:val="decimal"/>
      <w:lvlText w:val=""/>
      <w:lvlJc w:val="left"/>
    </w:lvl>
    <w:lvl w:ilvl="2" w:tplc="A3E4E7DC">
      <w:numFmt w:val="decimal"/>
      <w:lvlText w:val=""/>
      <w:lvlJc w:val="left"/>
    </w:lvl>
    <w:lvl w:ilvl="3" w:tplc="66F41DC0">
      <w:numFmt w:val="decimal"/>
      <w:lvlText w:val=""/>
      <w:lvlJc w:val="left"/>
    </w:lvl>
    <w:lvl w:ilvl="4" w:tplc="AE72BB1E">
      <w:numFmt w:val="decimal"/>
      <w:lvlText w:val=""/>
      <w:lvlJc w:val="left"/>
    </w:lvl>
    <w:lvl w:ilvl="5" w:tplc="035A1302">
      <w:numFmt w:val="decimal"/>
      <w:lvlText w:val=""/>
      <w:lvlJc w:val="left"/>
    </w:lvl>
    <w:lvl w:ilvl="6" w:tplc="BBC2A82A">
      <w:numFmt w:val="decimal"/>
      <w:lvlText w:val=""/>
      <w:lvlJc w:val="left"/>
    </w:lvl>
    <w:lvl w:ilvl="7" w:tplc="EBB62F66">
      <w:numFmt w:val="decimal"/>
      <w:lvlText w:val=""/>
      <w:lvlJc w:val="left"/>
    </w:lvl>
    <w:lvl w:ilvl="8" w:tplc="EB74744A">
      <w:numFmt w:val="decimal"/>
      <w:lvlText w:val=""/>
      <w:lvlJc w:val="left"/>
    </w:lvl>
  </w:abstractNum>
  <w:num w:numId="1" w16cid:durableId="250161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F0B23"/>
    <w:rsid w:val="00265D29"/>
    <w:rsid w:val="002B7C9E"/>
    <w:rsid w:val="005705C6"/>
    <w:rsid w:val="006234CF"/>
    <w:rsid w:val="007F0B23"/>
    <w:rsid w:val="008B24E6"/>
    <w:rsid w:val="00A00F3C"/>
    <w:rsid w:val="00B83D9F"/>
    <w:rsid w:val="00CD07C9"/>
    <w:rsid w:val="00EA5B2F"/>
    <w:rsid w:val="00F07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6A8A2"/>
  <w15:docId w15:val="{56BCA4B1-EC3F-449A-903B-54C8C1684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2"/>
    <w:next w:val="Normal2"/>
    <w:rsid w:val="007F0B23"/>
    <w:pPr>
      <w:keepNext/>
      <w:keepLines/>
      <w:spacing w:before="480" w:after="120"/>
      <w:outlineLvl w:val="0"/>
    </w:pPr>
    <w:rPr>
      <w:b/>
      <w:sz w:val="48"/>
      <w:szCs w:val="48"/>
    </w:rPr>
  </w:style>
  <w:style w:type="paragraph" w:styleId="Heading2">
    <w:name w:val="heading 2"/>
    <w:basedOn w:val="Normal2"/>
    <w:next w:val="Normal2"/>
    <w:rsid w:val="007F0B23"/>
    <w:pPr>
      <w:keepNext/>
      <w:keepLines/>
      <w:spacing w:before="360" w:after="80"/>
      <w:outlineLvl w:val="1"/>
    </w:pPr>
    <w:rPr>
      <w:b/>
      <w:sz w:val="36"/>
      <w:szCs w:val="36"/>
    </w:rPr>
  </w:style>
  <w:style w:type="paragraph" w:styleId="Heading3">
    <w:name w:val="heading 3"/>
    <w:basedOn w:val="Normal2"/>
    <w:next w:val="Normal2"/>
    <w:rsid w:val="007F0B23"/>
    <w:pPr>
      <w:keepNext/>
      <w:keepLines/>
      <w:spacing w:before="280" w:after="80"/>
      <w:outlineLvl w:val="2"/>
    </w:pPr>
    <w:rPr>
      <w:b/>
      <w:sz w:val="28"/>
      <w:szCs w:val="28"/>
    </w:rPr>
  </w:style>
  <w:style w:type="paragraph" w:styleId="Heading4">
    <w:name w:val="heading 4"/>
    <w:basedOn w:val="Normal2"/>
    <w:next w:val="Normal2"/>
    <w:rsid w:val="007F0B23"/>
    <w:pPr>
      <w:keepNext/>
      <w:keepLines/>
      <w:spacing w:before="240" w:after="40"/>
      <w:outlineLvl w:val="3"/>
    </w:pPr>
    <w:rPr>
      <w:b/>
      <w:sz w:val="24"/>
      <w:szCs w:val="24"/>
    </w:rPr>
  </w:style>
  <w:style w:type="paragraph" w:styleId="Heading5">
    <w:name w:val="heading 5"/>
    <w:basedOn w:val="Normal2"/>
    <w:next w:val="Normal2"/>
    <w:rsid w:val="007F0B23"/>
    <w:pPr>
      <w:keepNext/>
      <w:keepLines/>
      <w:spacing w:before="220" w:after="40"/>
      <w:outlineLvl w:val="4"/>
    </w:pPr>
    <w:rPr>
      <w:b/>
    </w:rPr>
  </w:style>
  <w:style w:type="paragraph" w:styleId="Heading6">
    <w:name w:val="heading 6"/>
    <w:basedOn w:val="Normal2"/>
    <w:next w:val="Normal2"/>
    <w:rsid w:val="007F0B2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7F0B23"/>
    <w:tblPr>
      <w:tblCellMar>
        <w:top w:w="100" w:type="dxa"/>
        <w:left w:w="100" w:type="dxa"/>
        <w:bottom w:w="100" w:type="dxa"/>
        <w:right w:w="100" w:type="dxa"/>
      </w:tblCellMar>
    </w:tblPr>
  </w:style>
  <w:style w:type="paragraph" w:customStyle="1" w:styleId="Normal1">
    <w:name w:val="Normal1"/>
    <w:rsid w:val="007F0B23"/>
  </w:style>
  <w:style w:type="paragraph" w:styleId="Title">
    <w:name w:val="Title"/>
    <w:basedOn w:val="Normal2"/>
    <w:next w:val="Normal2"/>
    <w:rsid w:val="007F0B23"/>
    <w:pPr>
      <w:keepNext/>
      <w:keepLines/>
      <w:spacing w:before="480" w:after="120"/>
    </w:pPr>
    <w:rPr>
      <w:b/>
      <w:sz w:val="72"/>
      <w:szCs w:val="72"/>
    </w:rPr>
  </w:style>
  <w:style w:type="paragraph" w:customStyle="1" w:styleId="Normal2">
    <w:name w:val="Normal2"/>
    <w:rsid w:val="007F0B23"/>
  </w:style>
  <w:style w:type="paragraph" w:styleId="Subtitle">
    <w:name w:val="Subtitle"/>
    <w:basedOn w:val="Normal2"/>
    <w:next w:val="Normal2"/>
    <w:rsid w:val="007F0B23"/>
    <w:pPr>
      <w:keepNext/>
      <w:keepLines/>
      <w:spacing w:before="360" w:after="80"/>
    </w:pPr>
    <w:rPr>
      <w:rFonts w:ascii="Georgia" w:eastAsia="Georgia" w:hAnsi="Georgia" w:cs="Georgia"/>
      <w:i/>
      <w:iCs/>
      <w:color w:val="666666"/>
      <w:sz w:val="48"/>
      <w:szCs w:val="48"/>
    </w:rPr>
  </w:style>
  <w:style w:type="table" w:customStyle="1" w:styleId="a">
    <w:basedOn w:val="TableNormal"/>
    <w:rsid w:val="007F0B23"/>
    <w:tblPr>
      <w:tblStyleRowBandSize w:val="1"/>
      <w:tblStyleColBandSize w:val="1"/>
      <w:tblCellMar>
        <w:top w:w="100" w:type="dxa"/>
        <w:left w:w="100" w:type="dxa"/>
        <w:bottom w:w="100" w:type="dxa"/>
        <w:right w:w="100" w:type="dxa"/>
      </w:tblCellMar>
    </w:tblPr>
  </w:style>
  <w:style w:type="table" w:customStyle="1" w:styleId="a0">
    <w:basedOn w:val="TableNormal"/>
    <w:rsid w:val="007F0B23"/>
    <w:tblPr>
      <w:tblStyleRowBandSize w:val="1"/>
      <w:tblStyleColBandSize w:val="1"/>
      <w:tblCellMar>
        <w:top w:w="100" w:type="dxa"/>
        <w:left w:w="100" w:type="dxa"/>
        <w:bottom w:w="100" w:type="dxa"/>
        <w:right w:w="100" w:type="dxa"/>
      </w:tblCellMar>
    </w:tblPr>
  </w:style>
  <w:style w:type="table" w:customStyle="1" w:styleId="a1">
    <w:basedOn w:val="TableNormal"/>
    <w:rsid w:val="007F0B23"/>
    <w:tblPr>
      <w:tblStyleRowBandSize w:val="1"/>
      <w:tblStyleColBandSize w:val="1"/>
    </w:tblPr>
  </w:style>
  <w:style w:type="table" w:customStyle="1" w:styleId="a2">
    <w:basedOn w:val="TableNormal"/>
    <w:rsid w:val="007F0B23"/>
    <w:tblPr>
      <w:tblStyleRowBandSize w:val="1"/>
      <w:tblStyleColBandSize w:val="1"/>
    </w:tblPr>
  </w:style>
  <w:style w:type="paragraph" w:styleId="BalloonText">
    <w:name w:val="Balloon Text"/>
    <w:basedOn w:val="Normal"/>
    <w:link w:val="BalloonTextChar"/>
    <w:uiPriority w:val="99"/>
    <w:semiHidden/>
    <w:unhideWhenUsed/>
    <w:rsid w:val="00265D2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5D29"/>
    <w:rPr>
      <w:rFonts w:ascii="Tahoma" w:hAnsi="Tahoma" w:cs="Tahoma"/>
      <w:sz w:val="16"/>
      <w:szCs w:val="16"/>
    </w:rPr>
  </w:style>
  <w:style w:type="paragraph" w:styleId="Header">
    <w:name w:val="header"/>
    <w:basedOn w:val="Normal"/>
    <w:link w:val="HeaderChar"/>
    <w:uiPriority w:val="99"/>
    <w:semiHidden/>
    <w:unhideWhenUsed/>
    <w:rsid w:val="00265D29"/>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265D29"/>
  </w:style>
  <w:style w:type="paragraph" w:styleId="Footer">
    <w:name w:val="footer"/>
    <w:basedOn w:val="Normal"/>
    <w:link w:val="FooterChar"/>
    <w:uiPriority w:val="99"/>
    <w:semiHidden/>
    <w:unhideWhenUsed/>
    <w:rsid w:val="00265D29"/>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265D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2782</Characters>
  <Application>Microsoft Office Word</Application>
  <DocSecurity>0</DocSecurity>
  <Lines>23</Lines>
  <Paragraphs>6</Paragraphs>
  <ScaleCrop>false</ScaleCrop>
  <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MCA LAB</cp:lastModifiedBy>
  <cp:revision>4</cp:revision>
  <dcterms:created xsi:type="dcterms:W3CDTF">2026-09-19T06:06:00Z</dcterms:created>
  <dcterms:modified xsi:type="dcterms:W3CDTF">2026-09-19T10:19:00Z</dcterms:modified>
</cp:coreProperties>
</file>