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numic-overview-for-stakeholders"/>
      <w:r>
        <w:rPr/>
        <w:t>NUMIC — Overview for stakeholders</w:t>
      </w:r>
    </w:p>
    <w:p>
      <w:pPr>
        <w:pStyle w:val="Heading3"/>
        <w:rPr/>
      </w:pPr>
      <w:bookmarkStart w:id="1" w:name="Xa21cfc0fd5f6a165bf84a22692abed4c5aeeef5"/>
      <w:r>
        <w:rPr/>
        <w:t>Clinical decision support for post</w:t>
        <w:noBreakHyphen/>
        <w:t>haemorrhagic ventricular dilation (PHVD) risk</w:t>
      </w:r>
    </w:p>
    <w:p>
      <w:pPr>
        <w:pStyle w:val="FirstParagraph"/>
        <w:rPr/>
      </w:pPr>
      <w:r>
        <w:rPr>
          <w:b/>
          <w:bCs/>
        </w:rPr>
        <w:t>Audience:</w:t>
      </w:r>
      <w:r>
        <w:rPr/>
        <w:t xml:space="preserve"> Clinical, regulatory, and quality leadership (e.g. medical device QMS)</w:t>
        <w:br/>
      </w:r>
      <w:r>
        <w:rPr>
          <w:b/>
          <w:bCs/>
        </w:rPr>
        <w:t>Purpose:</w:t>
      </w:r>
      <w:r>
        <w:rPr/>
        <w:t xml:space="preserve"> Single-page summary of intent, design, and responsible next steps — not a regulatory submission.</w:t>
      </w:r>
    </w:p>
    <w:p>
      <w:pPr>
        <w:pStyle w:val="Normal"/>
        <w:rPr/>
      </w:pPr>
      <w:bookmarkStart w:id="2" w:name="Xa21cfc0fd5f6a165bf84a22692abed4c5aeeef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executive-summary"/>
      <w:r>
        <w:rPr/>
        <w:t>1. summary</w:t>
      </w:r>
    </w:p>
    <w:p>
      <w:pPr>
        <w:pStyle w:val="FirstParagraph"/>
        <w:rPr/>
      </w:pPr>
      <w:r>
        <w:rPr>
          <w:b/>
          <w:bCs/>
        </w:rPr>
        <w:t>NUMIC</w:t>
      </w:r>
      <w:r>
        <w:rPr/>
        <w:t xml:space="preserve"> is a software concept for </w:t>
      </w:r>
      <w:r>
        <w:rPr>
          <w:b/>
          <w:bCs/>
        </w:rPr>
        <w:t>structured assessment and communication of risk</w:t>
      </w:r>
      <w:r>
        <w:rPr/>
        <w:t xml:space="preserve"> in infants with </w:t>
      </w:r>
      <w:r>
        <w:rPr>
          <w:b/>
          <w:bCs/>
        </w:rPr>
        <w:t>post</w:t>
        <w:noBreakHyphen/>
        <w:t>haemorrhagic ventricular dilation (PHVD)</w:t>
      </w:r>
      <w:r>
        <w:rPr/>
        <w:t xml:space="preserve"> after intraventricular haemorrhage. It combines: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Standard cUS measurements</w:t>
      </w:r>
      <w:r>
        <w:rPr/>
        <w:t xml:space="preserve"> used in practice and trials (ventricular index, anterior horn width, thalamo</w:t>
        <w:noBreakHyphen/>
        <w:t>occipital distance),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Explicit, versioned scoring rules</w:t>
      </w:r>
      <w:r>
        <w:rPr/>
        <w:t xml:space="preserve"> aligned with published thresholds and trial logic (e.g. ELVIS</w:t>
        <w:noBreakHyphen/>
        <w:t>era framing),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Temporal (“progression”) information</w:t>
      </w:r>
      <w:r>
        <w:rPr/>
        <w:t xml:space="preserve"> — how fast ventricular size is changing between scans — which the literature highlights as prognostically important but often </w:t>
      </w:r>
      <w:r>
        <w:rPr>
          <w:b/>
          <w:bCs/>
        </w:rPr>
        <w:t>not quantified in a single, actionable score</w:t>
      </w:r>
      <w:r>
        <w:rPr/>
        <w:t>.</w:t>
      </w:r>
    </w:p>
    <w:p>
      <w:pPr>
        <w:pStyle w:val="FirstParagraph"/>
        <w:rPr/>
      </w:pPr>
      <w:r>
        <w:rPr/>
        <w:t xml:space="preserve">The goal is </w:t>
      </w:r>
      <w:r>
        <w:rPr>
          <w:b/>
          <w:bCs/>
        </w:rPr>
        <w:t>decision support</w:t>
      </w:r>
      <w:r>
        <w:rPr/>
        <w:t xml:space="preserve">: to make </w:t>
      </w:r>
      <w:r>
        <w:rPr>
          <w:b/>
          <w:bCs/>
        </w:rPr>
        <w:t>size + trajectory + key clinical context</w:t>
      </w:r>
      <w:r>
        <w:rPr/>
        <w:t xml:space="preserve"> visible in one place, with </w:t>
      </w:r>
      <w:r>
        <w:rPr>
          <w:b/>
          <w:bCs/>
        </w:rPr>
        <w:t>transparent sub</w:t>
        <w:noBreakHyphen/>
        <w:t>scores</w:t>
      </w:r>
      <w:r>
        <w:rPr/>
        <w:t xml:space="preserve"> and </w:t>
      </w:r>
      <w:r>
        <w:rPr>
          <w:b/>
          <w:bCs/>
        </w:rPr>
        <w:t>tiered suggested actions</w:t>
      </w:r>
      <w:r>
        <w:rPr/>
        <w:t xml:space="preserve"> (e.g. surveillance vs escalation), so neonatal teams can align discussion and documentation — </w:t>
      </w:r>
      <w:r>
        <w:rPr>
          <w:b/>
          <w:bCs/>
        </w:rPr>
        <w:t>not</w:t>
      </w:r>
      <w:r>
        <w:rPr/>
        <w:t xml:space="preserve"> to replace clinical judgment or to make an autonomous diagnosis.</w:t>
      </w:r>
    </w:p>
    <w:p>
      <w:pPr>
        <w:pStyle w:val="Normal"/>
        <w:rPr/>
      </w:pPr>
      <w:bookmarkStart w:id="4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clinical-problem"/>
      <w:r>
        <w:rPr/>
        <w:t>2. Clinical problem</w:t>
      </w:r>
    </w:p>
    <w:p>
      <w:pPr>
        <w:pStyle w:val="FirstParagraph"/>
        <w:rPr/>
      </w:pPr>
      <w:r>
        <w:rPr/>
        <w:t xml:space="preserve">PHVD after IVH is associated with important morbidity. Management depends on </w:t>
      </w:r>
      <w:r>
        <w:rPr>
          <w:b/>
          <w:bCs/>
        </w:rPr>
        <w:t>how dilated the ventricles are</w:t>
      </w:r>
      <w:r>
        <w:rPr/>
        <w:t xml:space="preserve">, </w:t>
      </w:r>
      <w:r>
        <w:rPr>
          <w:b/>
          <w:bCs/>
        </w:rPr>
        <w:t>how quickly dilation progresses</w:t>
      </w:r>
      <w:r>
        <w:rPr/>
        <w:t xml:space="preserve">, and </w:t>
      </w:r>
      <w:r>
        <w:rPr>
          <w:b/>
          <w:bCs/>
        </w:rPr>
        <w:t>clinical evolution</w:t>
      </w:r>
      <w:r>
        <w:rPr/>
        <w:t>. Teams already use serial cranial ultrasound (cUS) and published cut</w:t>
        <w:noBreakHyphen/>
        <w:t>offs; however: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Progression is often </w:t>
      </w:r>
      <w:r>
        <w:rPr>
          <w:b/>
          <w:bCs/>
        </w:rPr>
        <w:t>described qualitatively</w:t>
      </w:r>
      <w:r>
        <w:rPr/>
        <w:t xml:space="preserve"> (“a bit bigger”) rather than </w:t>
      </w:r>
      <w:r>
        <w:rPr>
          <w:b/>
          <w:bCs/>
        </w:rPr>
        <w:t>summarised in a consistent, auditable way</w:t>
      </w:r>
      <w:r>
        <w:rPr/>
        <w:t>.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There is </w:t>
      </w:r>
      <w:r>
        <w:rPr>
          <w:b/>
          <w:bCs/>
        </w:rPr>
        <w:t>no single, widely adopted composite</w:t>
      </w:r>
      <w:r>
        <w:rPr/>
        <w:t xml:space="preserve"> that combines </w:t>
      </w:r>
      <w:r>
        <w:rPr>
          <w:b/>
          <w:bCs/>
        </w:rPr>
        <w:t>absolute size</w:t>
      </w:r>
      <w:r>
        <w:rPr/>
        <w:t xml:space="preserve">, </w:t>
      </w:r>
      <w:r>
        <w:rPr>
          <w:b/>
          <w:bCs/>
        </w:rPr>
        <w:t>rate of change</w:t>
      </w:r>
      <w:r>
        <w:rPr/>
        <w:t xml:space="preserve">, and </w:t>
      </w:r>
      <w:r>
        <w:rPr>
          <w:b/>
          <w:bCs/>
        </w:rPr>
        <w:t>late clinical signs</w:t>
      </w:r>
      <w:r>
        <w:rPr/>
        <w:t xml:space="preserve"> for handover and quality review.</w:t>
      </w:r>
    </w:p>
    <w:p>
      <w:pPr>
        <w:pStyle w:val="FirstParagraph"/>
        <w:rPr/>
      </w:pPr>
      <w:r>
        <w:rPr/>
        <w:t xml:space="preserve">NUMIC is intended to </w:t>
      </w:r>
      <w:r>
        <w:rPr>
          <w:b/>
          <w:bCs/>
        </w:rPr>
        <w:t>support</w:t>
      </w:r>
      <w:r>
        <w:rPr/>
        <w:t xml:space="preserve"> that gap: a </w:t>
      </w:r>
      <w:r>
        <w:rPr>
          <w:b/>
          <w:bCs/>
        </w:rPr>
        <w:t>structured, reproducible summary</w:t>
      </w:r>
      <w:r>
        <w:rPr/>
        <w:t xml:space="preserve"> that still maps back to familiar metrics.</w:t>
      </w:r>
    </w:p>
    <w:p>
      <w:pPr>
        <w:pStyle w:val="Normal"/>
        <w:rPr/>
      </w:pPr>
      <w:bookmarkStart w:id="6" w:name="clinical-proble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what-we-are-building-product-intent"/>
      <w:r>
        <w:rPr/>
        <w:t>3. What we are building (product intent)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48"/>
        <w:gridCol w:w="4011"/>
      </w:tblGrid>
      <w:tr>
        <w:trPr>
          <w:tblHeader w:val="true"/>
        </w:trPr>
        <w:tc>
          <w:tcPr>
            <w:tcW w:w="534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Layer</w:t>
            </w:r>
          </w:p>
        </w:tc>
        <w:tc>
          <w:tcPr>
            <w:tcW w:w="40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Measurement capture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Accept VI, AHW, TOD (and related fields) from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PACS/overlay pipelines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image</w:t>
              <w:noBreakHyphen/>
              <w:t>derived tools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manual/GUI entry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bulk import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with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patient identity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date/time of study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who measured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clinical notes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where available.</w:t>
            </w:r>
          </w:p>
        </w:tc>
      </w:tr>
      <w:tr>
        <w:trPr/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NumicFlow scoring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Static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score from current size vs thresholds;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progression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score from change vs a prior timepoint;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clinical modifier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structured concern level (e.g. fontanel / systemic signs), with rules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(e.g. 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numic_flow_v1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so outputs remain interpretable when policies evolve.</w:t>
            </w:r>
          </w:p>
        </w:tc>
      </w:tr>
      <w:tr>
        <w:trPr/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Risk tier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Map total score to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low / moderate / high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bands with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plain</w:t>
              <w:noBreakHyphen/>
              <w:t>language suggested actions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(aligned to published pathways — scan frequency, escalation, neurosurgical awareness).</w:t>
            </w:r>
          </w:p>
        </w:tc>
      </w:tr>
      <w:tr>
        <w:trPr/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Presentation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Eventually: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clinician</w:t>
              <w:noBreakHyphen/>
              <w:t>facing UI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raw API JSON) — patient context, numbers, trajectory plot, score breakdown, rule version, and export for records.</w:t>
            </w:r>
          </w:p>
        </w:tc>
      </w:tr>
    </w:tbl>
    <w:p>
      <w:pPr>
        <w:pStyle w:val="BodyText"/>
        <w:rPr/>
      </w:pPr>
      <w:r>
        <w:rPr/>
        <w:t xml:space="preserve">A </w:t>
      </w:r>
      <w:r>
        <w:rPr>
          <w:b/>
          <w:bCs/>
        </w:rPr>
        <w:t>demo API</w:t>
      </w:r>
      <w:r>
        <w:rPr/>
        <w:t xml:space="preserve"> exists to show </w:t>
      </w:r>
      <w:r>
        <w:rPr>
          <w:b/>
          <w:bCs/>
        </w:rPr>
        <w:t>end</w:t>
        <w:noBreakHyphen/>
        <w:t>to</w:t>
        <w:noBreakHyphen/>
        <w:t>end behaviour</w:t>
      </w:r>
      <w:r>
        <w:rPr/>
        <w:t xml:space="preserve"> for prototyping; the </w:t>
      </w:r>
      <w:r>
        <w:rPr>
          <w:b/>
          <w:bCs/>
        </w:rPr>
        <w:t>clinical product</w:t>
      </w:r>
      <w:r>
        <w:rPr/>
        <w:t xml:space="preserve"> would be a regulated front</w:t>
        <w:noBreakHyphen/>
        <w:t>end and deployment model, not the demo route alone.</w:t>
      </w:r>
    </w:p>
    <w:p>
      <w:pPr>
        <w:pStyle w:val="Normal"/>
        <w:rPr/>
      </w:pPr>
      <w:bookmarkStart w:id="8" w:name="what-we-are-building-product-int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methodology-numicflow-high-level"/>
      <w:r>
        <w:rPr/>
        <w:t>4. NumicFlow — high level</w:t>
      </w:r>
    </w:p>
    <w:p>
      <w:pPr>
        <w:pStyle w:val="FirstParagraph"/>
        <w:rPr/>
      </w:pPr>
      <w:r>
        <w:rPr>
          <w:b/>
          <w:bCs/>
        </w:rPr>
        <w:t>Static layer (0–6)</w:t>
      </w:r>
      <w:r>
        <w:rPr/>
        <w:br/>
        <w:t>Per</w:t>
        <w:noBreakHyphen/>
        <w:t>metric bands for VI (with percentile / nomogram logic as implemented), AHW, and TOD, consistent with the evidence base we are coding against.</w:t>
      </w:r>
    </w:p>
    <w:p>
      <w:pPr>
        <w:pStyle w:val="BodyText"/>
        <w:rPr/>
      </w:pPr>
      <w:r>
        <w:rPr>
          <w:b/>
          <w:bCs/>
        </w:rPr>
        <w:t>Progression layer (0–6)</w:t>
      </w:r>
      <w:r>
        <w:rPr/>
        <w:br/>
        <w:t xml:space="preserve">Quantified change in VI, AHW, TOD between </w:t>
      </w:r>
      <w:r>
        <w:rPr>
          <w:b/>
          <w:bCs/>
        </w:rPr>
        <w:t>current and prior</w:t>
      </w:r>
      <w:r>
        <w:rPr/>
        <w:t xml:space="preserve"> measurements over time (worsening</w:t>
        <w:noBreakHyphen/>
        <w:t>direction logic as specified in our rule set).</w:t>
      </w:r>
    </w:p>
    <w:p>
      <w:pPr>
        <w:pStyle w:val="BodyText"/>
        <w:rPr/>
      </w:pPr>
      <w:r>
        <w:rPr>
          <w:b/>
          <w:bCs/>
        </w:rPr>
        <w:t>Clinical modifier (0–2)</w:t>
      </w:r>
      <w:r>
        <w:rPr/>
        <w:br/>
        <w:t xml:space="preserve">Structured input for </w:t>
      </w:r>
      <w:r>
        <w:rPr>
          <w:b/>
          <w:bCs/>
        </w:rPr>
        <w:t>late but important</w:t>
      </w:r>
      <w:r>
        <w:rPr/>
        <w:t xml:space="preserve"> clinical concern (none / mild / clear), from bedside observation or file — not a full neonatal exam replacement.</w:t>
      </w:r>
    </w:p>
    <w:p>
      <w:pPr>
        <w:pStyle w:val="BodyText"/>
        <w:rPr/>
      </w:pPr>
      <w:r>
        <w:rPr>
          <w:b/>
          <w:bCs/>
        </w:rPr>
        <w:t>Total</w:t>
      </w:r>
      <w:r>
        <w:rPr/>
        <w:br/>
        <w:t xml:space="preserve">Weighted sum → </w:t>
      </w:r>
      <w:r>
        <w:rPr>
          <w:b/>
          <w:bCs/>
        </w:rPr>
        <w:t>NumicFlow score (0–14)</w:t>
      </w:r>
      <w:r>
        <w:rPr/>
        <w:t xml:space="preserve"> → </w:t>
      </w:r>
      <w:r>
        <w:rPr>
          <w:b/>
          <w:bCs/>
        </w:rPr>
        <w:t>risk tier</w:t>
      </w:r>
      <w:r>
        <w:rPr/>
        <w:t xml:space="preserve"> with </w:t>
      </w:r>
      <w:r>
        <w:rPr>
          <w:b/>
          <w:bCs/>
        </w:rPr>
        <w:t>action bands</w:t>
      </w:r>
      <w:r>
        <w:rPr/>
        <w:t>.</w:t>
      </w:r>
    </w:p>
    <w:p>
      <w:pPr>
        <w:pStyle w:val="BodyText"/>
        <w:rPr/>
      </w:pPr>
      <w:r>
        <w:rPr/>
        <w:t xml:space="preserve">All thresholds live in </w:t>
      </w:r>
      <w:r>
        <w:rPr>
          <w:b/>
          <w:bCs/>
        </w:rPr>
        <w:t>named, versioned rule bundles</w:t>
      </w:r>
      <w:r>
        <w:rPr/>
        <w:t xml:space="preserve"> so that governance can approve changes and old results remain attributable to a </w:t>
      </w:r>
      <w:r>
        <w:rPr>
          <w:b/>
          <w:bCs/>
        </w:rPr>
        <w:t>specific rule version</w:t>
      </w:r>
      <w:r>
        <w:rPr/>
        <w:t>.</w:t>
      </w:r>
    </w:p>
    <w:p>
      <w:pPr>
        <w:pStyle w:val="Normal"/>
        <w:rPr/>
      </w:pPr>
      <w:bookmarkStart w:id="10" w:name="methodology-numicflow-high-leve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technical-system-nontechnical-summary"/>
      <w:r>
        <w:rPr/>
        <w:t xml:space="preserve">5. </w:t>
      </w:r>
      <w:r>
        <w:rPr/>
        <w:t>S</w:t>
      </w:r>
      <w:r>
        <w:rPr/>
        <w:t xml:space="preserve">ystem </w:t>
      </w:r>
      <w:r>
        <w:rPr/>
        <w:t>S</w:t>
      </w:r>
      <w:r>
        <w:rPr/>
        <w:t>ummary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Backend:</w:t>
      </w:r>
      <w:r>
        <w:rPr/>
        <w:t xml:space="preserve"> API</w:t>
        <w:noBreakHyphen/>
        <w:t xml:space="preserve">first service (e.g. FastAPI) separating </w:t>
      </w:r>
      <w:r>
        <w:rPr>
          <w:b/>
          <w:bCs/>
        </w:rPr>
        <w:t>measurement ingestion</w:t>
      </w:r>
      <w:r>
        <w:rPr/>
        <w:t xml:space="preserve">, </w:t>
      </w:r>
      <w:r>
        <w:rPr>
          <w:b/>
          <w:bCs/>
        </w:rPr>
        <w:t>scoring</w:t>
      </w:r>
      <w:r>
        <w:rPr/>
        <w:t xml:space="preserve">, and (later) </w:t>
      </w:r>
      <w:r>
        <w:rPr>
          <w:b/>
          <w:bCs/>
        </w:rPr>
        <w:t>persistence</w:t>
      </w:r>
      <w:r>
        <w:rPr/>
        <w:t>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Data model:</w:t>
      </w:r>
      <w:r>
        <w:rPr/>
        <w:t xml:space="preserve"> Patient/study context + measurements + optional progression and reports — designed for </w:t>
      </w:r>
      <w:r>
        <w:rPr>
          <w:b/>
          <w:bCs/>
        </w:rPr>
        <w:t>audit</w:t>
      </w:r>
      <w:r>
        <w:rPr/>
        <w:t xml:space="preserve"> (who, when, which rule version).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Inputs:</w:t>
      </w:r>
      <w:r>
        <w:rPr/>
        <w:t xml:space="preserve"> Designed for </w:t>
      </w:r>
      <w:r>
        <w:rPr>
          <w:b/>
          <w:bCs/>
        </w:rPr>
        <w:t>hospital reality</w:t>
      </w:r>
      <w:r>
        <w:rPr/>
        <w:t>: DICOM/PACS metadata, spreadsheet import, manual entry from a measurement GUI, future ML</w:t>
        <w:noBreakHyphen/>
        <w:t>based image extraction (currently stubbed where models are not yet integrated).</w:t>
      </w:r>
    </w:p>
    <w:p>
      <w:pPr>
        <w:pStyle w:val="FirstParagraph"/>
        <w:rPr/>
      </w:pPr>
      <w:r>
        <w:rPr/>
        <w:t xml:space="preserve">Engineering detail is available separately; this document focuses on </w:t>
      </w:r>
      <w:r>
        <w:rPr>
          <w:b/>
          <w:bCs/>
        </w:rPr>
        <w:t>intent and governance</w:t>
      </w:r>
      <w:r>
        <w:rPr/>
        <w:t>.</w:t>
      </w:r>
    </w:p>
    <w:p>
      <w:pPr>
        <w:pStyle w:val="Normal"/>
        <w:rPr/>
      </w:pPr>
      <w:bookmarkStart w:id="12" w:name="technical-system-nontechnical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X6e908d121df9acf55938d03044462ee0d66fabd"/>
      <w:r>
        <w:rPr/>
        <w:t>6. Quality, safety, and regulatory posture - discussion points</w:t>
      </w:r>
    </w:p>
    <w:p>
      <w:pPr>
        <w:pStyle w:val="FirstParagraph"/>
        <w:rPr/>
      </w:pPr>
      <w:r>
        <w:rPr/>
        <w:t xml:space="preserve">The following are </w:t>
      </w:r>
      <w:r>
        <w:rPr>
          <w:b/>
          <w:bCs/>
        </w:rPr>
        <w:t>topics for informed conversation with QMS / clinical governance</w:t>
      </w:r>
      <w:r>
        <w:rPr/>
        <w:t>, not conclusions: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Intended use:</w:t>
      </w:r>
      <w:r>
        <w:rPr/>
        <w:t xml:space="preserve"> Decision support / workflow aid vs diagnostic device claims — must be nailed down with </w:t>
      </w:r>
      <w:r>
        <w:rPr>
          <w:b/>
          <w:bCs/>
        </w:rPr>
        <w:t>intended user</w:t>
      </w:r>
      <w:r>
        <w:rPr/>
        <w:t xml:space="preserve">, </w:t>
      </w:r>
      <w:r>
        <w:rPr>
          <w:b/>
          <w:bCs/>
        </w:rPr>
        <w:t>indication</w:t>
      </w:r>
      <w:r>
        <w:rPr/>
        <w:t xml:space="preserve">, and </w:t>
      </w:r>
      <w:r>
        <w:rPr>
          <w:b/>
          <w:bCs/>
        </w:rPr>
        <w:t>contraindications</w:t>
      </w:r>
      <w:r>
        <w:rPr/>
        <w:t xml:space="preserve"> in a formal definition.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Clinical validation:</w:t>
      </w:r>
      <w:r>
        <w:rPr/>
        <w:t xml:space="preserve"> Agreement on </w:t>
      </w:r>
      <w:r>
        <w:rPr>
          <w:b/>
          <w:bCs/>
        </w:rPr>
        <w:t>performance study design</w:t>
      </w:r>
      <w:r>
        <w:rPr/>
        <w:t>, reference standard, and neonatology sign</w:t>
        <w:noBreakHyphen/>
        <w:t>off before any deployment near patients.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Risk management:</w:t>
      </w:r>
      <w:r>
        <w:rPr/>
        <w:t xml:space="preserve"> ISO 14971</w:t>
        <w:noBreakHyphen/>
        <w:t>style hazards (wrong input, wrong rule version, UI misread, missed escalation) and mitigations (human</w:t>
        <w:noBreakHyphen/>
        <w:t>in</w:t>
        <w:noBreakHyphen/>
        <w:t>the</w:t>
        <w:noBreakHyphen/>
        <w:t>loop, versioning, logging).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Software lifecycle:</w:t>
      </w:r>
      <w:r>
        <w:rPr/>
        <w:t xml:space="preserve"> IEC 62304 class, configuration management, release records, and </w:t>
      </w:r>
      <w:r>
        <w:rPr>
          <w:b/>
          <w:bCs/>
        </w:rPr>
        <w:t>SBOM</w:t>
      </w:r>
      <w:r>
        <w:rPr/>
        <w:t xml:space="preserve"> / cybersecurity expectations for a connected product.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Data protection:</w:t>
      </w:r>
      <w:r>
        <w:rPr/>
        <w:t xml:space="preserve"> UK GDPR / NHS DSPT</w:t>
        <w:noBreakHyphen/>
        <w:t>style considerations if patient identifiers are processed.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Human factors:</w:t>
      </w:r>
      <w:r>
        <w:rPr/>
        <w:t xml:space="preserve"> UI testing so </w:t>
      </w:r>
      <w:r>
        <w:rPr>
          <w:b/>
          <w:bCs/>
        </w:rPr>
        <w:t>risk tier</w:t>
      </w:r>
      <w:r>
        <w:rPr/>
        <w:t xml:space="preserve"> and </w:t>
      </w:r>
      <w:r>
        <w:rPr>
          <w:b/>
          <w:bCs/>
        </w:rPr>
        <w:t>recommended actions</w:t>
      </w:r>
      <w:r>
        <w:rPr/>
        <w:t xml:space="preserve"> are unambiguous and match local protocol.</w:t>
      </w:r>
    </w:p>
    <w:p>
      <w:pPr>
        <w:pStyle w:val="FirstParagraph"/>
        <w:rPr/>
      </w:pPr>
      <w:r>
        <w:rPr/>
        <w:t xml:space="preserve">NUMIC is at an early stage: </w:t>
      </w:r>
      <w:r>
        <w:rPr>
          <w:b/>
          <w:bCs/>
        </w:rPr>
        <w:t>architecture and rule structure exist in software</w:t>
      </w:r>
      <w:r>
        <w:rPr/>
        <w:t xml:space="preserve">; </w:t>
      </w:r>
      <w:r>
        <w:rPr>
          <w:b/>
          <w:bCs/>
        </w:rPr>
        <w:t>formal QMS alignment and clinical evidence</w:t>
      </w:r>
      <w:r>
        <w:rPr/>
        <w:t xml:space="preserve"> are deliberate next steps — which is why engagement with UCL quality leadership is valuable </w:t>
      </w:r>
      <w:r>
        <w:rPr>
          <w:b/>
          <w:bCs/>
        </w:rPr>
        <w:t>before</w:t>
      </w:r>
      <w:r>
        <w:rPr/>
        <w:t xml:space="preserve"> scaling claims or deployment.</w:t>
      </w:r>
    </w:p>
    <w:p>
      <w:pPr>
        <w:pStyle w:val="Normal"/>
        <w:rPr/>
      </w:pPr>
      <w:bookmarkStart w:id="14" w:name="X6e908d121df9acf55938d03044462ee0d66fab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current-status-vs-roadmap"/>
      <w:r>
        <w:rPr/>
        <w:t>7. Current status vs roadmap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81"/>
        <w:gridCol w:w="6778"/>
      </w:tblGrid>
      <w:tr>
        <w:trPr>
          <w:tblHeader w:val="true"/>
        </w:trPr>
        <w:tc>
          <w:tcPr>
            <w:tcW w:w="25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</w:t>
            </w:r>
          </w:p>
        </w:tc>
        <w:tc>
          <w:tcPr>
            <w:tcW w:w="67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(high level)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Scoring logic &amp; versioning</w:t>
            </w:r>
          </w:p>
        </w:tc>
        <w:tc>
          <w:tcPr>
            <w:tcW w:w="6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Prototype implemented; requires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clinical validation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change control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under QMS if marketed.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Measurement ingestion</w:t>
            </w:r>
          </w:p>
        </w:tc>
        <w:tc>
          <w:tcPr>
            <w:tcW w:w="6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Today (prototype):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manual entry, spreadsheet import, and numeric feeds from overlay/PACS-style metadata.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Roadmap: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deeper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PACS/workflow integration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where needed;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eventually, automatic VI/AHW/TOD from cUS images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using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segmentation models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with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clinical validation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before use in care.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Clinician UI</w:t>
            </w:r>
          </w:p>
        </w:tc>
        <w:tc>
          <w:tcPr>
            <w:tcW w:w="6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Roadmap: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develop 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clinician-facing UI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focused on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ease of use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—the production experience, not raw APIs or demo pages.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from clinicians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(neonatologists, sonographers, and related roles) will be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essential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screen flow, terminology, and how risk tiers and suggested actions are presented; the API and demo remain for engineering and early testing.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Regulatory strategy</w:t>
            </w:r>
          </w:p>
        </w:tc>
        <w:tc>
          <w:tcPr>
            <w:tcW w:w="6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depends on intended use, jurisdiction (UKCA / MDR), and whether the system is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Software as a Medical Device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in which class.</w:t>
            </w:r>
          </w:p>
        </w:tc>
      </w:tr>
    </w:tbl>
    <w:p>
      <w:pPr>
        <w:pStyle w:val="Normal"/>
        <w:rPr/>
      </w:pPr>
      <w:bookmarkStart w:id="16" w:name="current-status-vs-roadmap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X43f5fae9608573382f338566a5aa9b15a44d84a"/>
      <w:r>
        <w:rPr/>
        <w:t>8. What we would value from this conversation</w:t>
      </w:r>
    </w:p>
    <w:p>
      <w:pPr>
        <w:pStyle w:val="FirstParagraph"/>
        <w:rPr/>
      </w:pPr>
      <w:r>
        <w:rPr/>
        <w:t xml:space="preserve">NUMIC’s next steps depend heavily on </w:t>
      </w:r>
      <w:r>
        <w:rPr>
          <w:b/>
          <w:bCs/>
        </w:rPr>
        <w:t>how</w:t>
      </w:r>
      <w:r>
        <w:rPr/>
        <w:t xml:space="preserve"> we position the product under device law and </w:t>
      </w:r>
      <w:r>
        <w:rPr>
          <w:b/>
          <w:bCs/>
        </w:rPr>
        <w:t>what</w:t>
      </w:r>
      <w:r>
        <w:rPr/>
        <w:t xml:space="preserve"> evidence and governance UCL or partner sites would expect. Your perspective—drawing on device QMS and clinical governance—would help me </w:t>
      </w:r>
      <w:r>
        <w:rPr>
          <w:b/>
          <w:bCs/>
        </w:rPr>
        <w:t>prioritise</w:t>
      </w:r>
      <w:r>
        <w:rPr/>
        <w:t xml:space="preserve"> documentation, timelines, and who to engage next.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Reality check</w:t>
      </w:r>
      <w:r>
        <w:rPr/>
        <w:t xml:space="preserve"> on positioning NUMIC as </w:t>
      </w:r>
      <w:r>
        <w:rPr>
          <w:b/>
          <w:bCs/>
        </w:rPr>
        <w:t>clinical decision support</w:t>
      </w:r>
      <w:r>
        <w:rPr/>
        <w:t xml:space="preserve"> under UK / EU device thinking.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Minimum viable QMS path</w:t>
      </w:r>
      <w:r>
        <w:rPr/>
        <w:t xml:space="preserve"> if we pursue </w:t>
      </w:r>
      <w:r>
        <w:rPr>
          <w:b/>
          <w:bCs/>
        </w:rPr>
        <w:t>clinical pilots</w:t>
      </w:r>
      <w:r>
        <w:rPr/>
        <w:t xml:space="preserve"> or </w:t>
      </w:r>
      <w:r>
        <w:rPr>
          <w:b/>
          <w:bCs/>
        </w:rPr>
        <w:t>UCL</w:t>
        <w:noBreakHyphen/>
        <w:t>affiliated evaluation</w:t>
      </w:r>
      <w:r>
        <w:rPr/>
        <w:t>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Clinical evaluation &amp; risk management — where to start:</w:t>
      </w:r>
      <w:r>
        <w:rPr/>
        <w:t xml:space="preserve"> How far must we go (plan vs evidence) before showing </w:t>
      </w:r>
      <w:r>
        <w:rPr>
          <w:b/>
          <w:bCs/>
        </w:rPr>
        <w:t>risk categories</w:t>
      </w:r>
      <w:r>
        <w:rPr/>
        <w:t xml:space="preserve"> or </w:t>
      </w:r>
      <w:r>
        <w:rPr>
          <w:b/>
          <w:bCs/>
        </w:rPr>
        <w:t>suggested actions</w:t>
      </w:r>
      <w:r>
        <w:rPr/>
        <w:t xml:space="preserve"> to clinicians outside a purely internal prototype? Which art</w:t>
      </w:r>
      <w:r>
        <w:rPr/>
        <w:t>i</w:t>
      </w:r>
      <w:r>
        <w:rPr/>
        <w:t xml:space="preserve">facts you’d expect early on (e.g. intended use wording, clinical benefits/risks narrative, usability/safety considerations, post-market thinking) and </w:t>
      </w:r>
      <w:r>
        <w:rPr>
          <w:b/>
          <w:bCs/>
        </w:rPr>
        <w:t>what level of formality</w:t>
      </w:r>
      <w:r>
        <w:rPr/>
        <w:t xml:space="preserve"> is proportionate at pilot stage vs a full </w:t>
      </w:r>
      <w:r>
        <w:rPr>
          <w:b/>
          <w:bCs/>
        </w:rPr>
        <w:t>Software as a Medical Device</w:t>
      </w:r>
      <w:r>
        <w:rPr/>
        <w:t xml:space="preserve"> path.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Institutional gate — what to line up first:</w:t>
      </w:r>
      <w:r>
        <w:rPr/>
        <w:t xml:space="preserve"> Your read on </w:t>
      </w:r>
      <w:r>
        <w:rPr>
          <w:b/>
          <w:bCs/>
        </w:rPr>
        <w:t>UCL</w:t>
      </w:r>
      <w:r>
        <w:rPr/>
        <w:t xml:space="preserve"> (or typical NHS trust) expectations before </w:t>
      </w:r>
      <w:r>
        <w:rPr>
          <w:b/>
          <w:bCs/>
        </w:rPr>
        <w:t>any</w:t>
      </w:r>
      <w:r>
        <w:rPr/>
        <w:t xml:space="preserve"> real patient data or clinician-facing use: e.g. </w:t>
      </w:r>
      <w:r>
        <w:rPr>
          <w:b/>
          <w:bCs/>
        </w:rPr>
        <w:t>DPIA</w:t>
      </w:r>
      <w:r>
        <w:rPr/>
        <w:t xml:space="preserve">, information governance, </w:t>
      </w:r>
      <w:r>
        <w:rPr>
          <w:b/>
          <w:bCs/>
        </w:rPr>
        <w:t>research vs service / clinical evaluation</w:t>
      </w:r>
      <w:r>
        <w:rPr/>
        <w:t xml:space="preserve"> boundaries, and whether we should treat an evaluation as “research” with full ethics first, or a defined service improvement path. </w:t>
      </w:r>
      <w:r>
        <w:rPr>
          <w:b/>
          <w:bCs/>
        </w:rPr>
        <w:t>Concrete ask:</w:t>
      </w:r>
      <w:r>
        <w:rPr/>
        <w:t xml:space="preserve"> what we should </w:t>
      </w:r>
      <w:r>
        <w:rPr>
          <w:b/>
          <w:bCs/>
        </w:rPr>
        <w:t>secure in writing</w:t>
      </w:r>
      <w:r>
        <w:rPr/>
        <w:t xml:space="preserve"> and </w:t>
      </w:r>
      <w:r>
        <w:rPr>
          <w:b/>
          <w:bCs/>
        </w:rPr>
        <w:t>in what order</w:t>
      </w:r>
      <w:r>
        <w:rPr/>
        <w:t xml:space="preserve"> so we do not block useful pilots or create avoidable compliance debt.</w:t>
      </w:r>
    </w:p>
    <w:p>
      <w:pPr>
        <w:pStyle w:val="Normal"/>
        <w:rPr/>
      </w:pPr>
      <w:bookmarkStart w:id="18" w:name="X43f5fae9608573382f338566a5aa9b15a44d84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contact-framing-for-your-discussion"/>
      <w:r>
        <w:rPr/>
        <w:t xml:space="preserve">9. </w:t>
      </w:r>
      <w:r>
        <w:rPr/>
        <w:t>NUMIC – one line overview</w:t>
      </w:r>
    </w:p>
    <w:p>
      <w:pPr>
        <w:pStyle w:val="BlockText"/>
        <w:rPr/>
      </w:pPr>
      <w:r>
        <w:rPr>
          <w:i/>
          <w:iCs/>
        </w:rPr>
        <w:t>“</w:t>
      </w:r>
      <w:r>
        <w:rPr>
          <w:i/>
          <w:iCs/>
        </w:rPr>
        <w:t>A structured PHVD risk summary that combines serial cUS size, rate of change, and key clinical modifiers into a transparent, versioned score — intended as decision support for neonatal teams, with formal device and clinical pathways still to be defined with quality and clinical leads.”</w:t>
      </w:r>
    </w:p>
    <w:p>
      <w:pPr>
        <w:pStyle w:val="Normal"/>
        <w:rPr/>
      </w:pPr>
      <w:bookmarkStart w:id="20" w:name="contact-framing-for-your-discus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references"/>
      <w:r>
        <w:rPr/>
        <w:t>References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El-Dib M, Limbrick DD Jr, Inder T, Whitelaw A, Kulkarni AV, Warf B, Volpe JJ, de Vries LS. Management of Post-hemorrhagic Ventricular Dilatation in the Infant Born Preterm. </w:t>
      </w:r>
      <w:r>
        <w:rPr>
          <w:i/>
          <w:iCs/>
        </w:rPr>
        <w:t>J Pediatr.</w:t>
      </w:r>
      <w:r>
        <w:rPr/>
        <w:t xml:space="preserve"> 2020 Nov;226:16-27.e3. doi: </w:t>
      </w:r>
      <w:hyperlink r:id="rId2">
        <w:r>
          <w:rPr>
            <w:rStyle w:val="Hyperlink"/>
          </w:rPr>
          <w:t>10.1016/j.jpeds.2020.07.079</w:t>
        </w:r>
      </w:hyperlink>
      <w:r>
        <w:rPr/>
        <w:t>. Epub 2020 Jul 30. PMID: 32739263; PMCID: PMC8297821.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22" w:name="numic-overview-for-stakeholders"/>
      <w:bookmarkStart w:id="23" w:name="references"/>
      <w:r>
        <w:rPr>
          <w:i/>
          <w:iCs/>
        </w:rPr>
        <w:t>Document generated for internal stakeholder sharing. It does not constitute regulatory advice, clinical guidance, or a commitment of performance.</w:t>
      </w:r>
      <w:bookmarkEnd w:id="22"/>
      <w:bookmarkEnd w:id="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16/j.jpeds.2020.07.079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5</Pages>
  <Words>1273</Words>
  <Characters>7564</Characters>
  <CharactersWithSpaces>8761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2026-04-29T10:42:02Z</dcterms:created>
  <dc:creator/>
  <dc:description/>
  <dc:language>en-US</dc:language>
  <cp:lastModifiedBy/>
  <dcterms:modified xsi:type="dcterms:W3CDTF">2026-04-29T11:52:12Z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