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E.g.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proofErr w:type="gramStart"/>
      <w:r w:rsidRPr="00550493">
        <w:rPr>
          <w:rFonts w:ascii="Cambria" w:eastAsia="Times New Roman" w:hAnsi="Cambria" w:cs="Times New Roman"/>
          <w:color w:val="222635"/>
          <w:sz w:val="29"/>
          <w:szCs w:val="29"/>
          <w:lang w:eastAsia="en-IN"/>
        </w:rPr>
        <w:t>admin.serverPort</w:t>
      </w:r>
      <w:proofErr w:type="spellEnd"/>
      <w:proofErr w:type="gram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proofErr w:type="gramStart"/>
      <w:r w:rsidRPr="004B19BC">
        <w:rPr>
          <w:rFonts w:ascii="Cambria" w:eastAsia="Times New Roman" w:hAnsi="Cambria" w:cs="Times New Roman"/>
          <w:color w:val="222635"/>
          <w:sz w:val="29"/>
          <w:szCs w:val="29"/>
          <w:lang w:eastAsia="en-IN"/>
        </w:rPr>
        <w:t>server.properties</w:t>
      </w:r>
      <w:proofErr w:type="spellEnd"/>
      <w:proofErr w:type="gramEnd"/>
      <w:r w:rsidRPr="004B19BC">
        <w:rPr>
          <w:rFonts w:ascii="Cambria" w:eastAsia="Times New Roman" w:hAnsi="Cambria" w:cs="Times New Roman"/>
          <w:color w:val="222635"/>
          <w:sz w:val="29"/>
          <w:szCs w:val="29"/>
          <w:lang w:eastAsia="en-IN"/>
        </w:rPr>
        <w:t>.”</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proofErr w:type="gramStart"/>
      <w:r w:rsidRPr="004B19BC">
        <w:rPr>
          <w:rFonts w:ascii="Courier New" w:eastAsia="Times New Roman" w:hAnsi="Courier New" w:cs="Courier New"/>
          <w:color w:val="000000"/>
          <w:sz w:val="20"/>
          <w:szCs w:val="20"/>
          <w:lang w:eastAsia="en-IN"/>
        </w:rPr>
        <w:t>log.dirs</w:t>
      </w:r>
      <w:proofErr w:type="spellEnd"/>
      <w:proofErr w:type="gram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w:t>
      </w:r>
      <w:proofErr w:type="gramStart"/>
      <w:r w:rsidRPr="004B19BC">
        <w:rPr>
          <w:rFonts w:ascii="Cambria" w:eastAsia="Times New Roman" w:hAnsi="Cambria" w:cs="Times New Roman"/>
          <w:i/>
          <w:iCs/>
          <w:color w:val="222635"/>
          <w:sz w:val="29"/>
          <w:szCs w:val="29"/>
          <w:lang w:eastAsia="en-IN"/>
        </w:rPr>
        <w:t>zookeeper.connect</w:t>
      </w:r>
      <w:proofErr w:type="gramEnd"/>
      <w:r w:rsidRPr="004B19BC">
        <w:rPr>
          <w:rFonts w:ascii="Cambria" w:eastAsia="Times New Roman" w:hAnsi="Cambria" w:cs="Times New Roman"/>
          <w:i/>
          <w:iCs/>
          <w:color w:val="222635"/>
          <w:sz w:val="29"/>
          <w:szCs w:val="29"/>
          <w:lang w:eastAsia="en-IN"/>
        </w:rPr>
        <w:t>:2181”</w:t>
      </w:r>
      <w:r w:rsidRPr="004B19BC">
        <w:rPr>
          <w:rFonts w:ascii="Cambria" w:eastAsia="Times New Roman" w:hAnsi="Cambria" w:cs="Times New Roman"/>
          <w:color w:val="222635"/>
          <w:sz w:val="29"/>
          <w:szCs w:val="29"/>
          <w:lang w:eastAsia="en-IN"/>
        </w:rPr>
        <w:t xml:space="preserve"> to your custom IP and port. For this demo, we are using the same machine so there's no need to change. </w:t>
      </w:r>
      <w:proofErr w:type="gramStart"/>
      <w:r w:rsidRPr="004B19BC">
        <w:rPr>
          <w:rFonts w:ascii="Cambria" w:eastAsia="Times New Roman" w:hAnsi="Cambria" w:cs="Times New Roman"/>
          <w:color w:val="222635"/>
          <w:sz w:val="29"/>
          <w:szCs w:val="29"/>
          <w:lang w:eastAsia="en-IN"/>
        </w:rPr>
        <w:t>Also</w:t>
      </w:r>
      <w:proofErr w:type="gramEnd"/>
      <w:r w:rsidRPr="004B19BC">
        <w:rPr>
          <w:rFonts w:ascii="Cambria" w:eastAsia="Times New Roman" w:hAnsi="Cambria" w:cs="Times New Roman"/>
          <w:color w:val="222635"/>
          <w:sz w:val="29"/>
          <w:szCs w:val="29"/>
          <w:lang w:eastAsia="en-IN"/>
        </w:rPr>
        <w:t xml:space="preserve">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proofErr w:type="gramStart"/>
      <w:r w:rsidRPr="005B64B4">
        <w:rPr>
          <w:rFonts w:ascii="Cambria" w:eastAsia="Times New Roman" w:hAnsi="Cambria" w:cs="Times New Roman"/>
          <w:color w:val="222635"/>
          <w:sz w:val="29"/>
          <w:szCs w:val="29"/>
          <w:lang w:eastAsia="en-IN"/>
        </w:rPr>
        <w:t>XX:MaxPermSize</w:t>
      </w:r>
      <w:proofErr w:type="spellEnd"/>
      <w:proofErr w:type="gram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602258"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lastRenderedPageBreak/>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t>&gt; bin/kafka-topics.sh --describe --bootstrap-server localhost:9092 --topic my-replicated-topic</w:t>
            </w:r>
          </w:p>
          <w:p w14:paraId="4AD30276"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lastRenderedPageBreak/>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lastRenderedPageBreak/>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lastRenderedPageBreak/>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lastRenderedPageBreak/>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602258"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lastRenderedPageBreak/>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3364B2"/>
    <w:rsid w:val="004B19BC"/>
    <w:rsid w:val="0054177C"/>
    <w:rsid w:val="00550493"/>
    <w:rsid w:val="0056175E"/>
    <w:rsid w:val="005B58E0"/>
    <w:rsid w:val="005B64B4"/>
    <w:rsid w:val="00602258"/>
    <w:rsid w:val="0080784C"/>
    <w:rsid w:val="00905C9F"/>
    <w:rsid w:val="00992387"/>
    <w:rsid w:val="00C1681F"/>
    <w:rsid w:val="00F1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18</cp:revision>
  <dcterms:created xsi:type="dcterms:W3CDTF">2019-10-31T18:08:00Z</dcterms:created>
  <dcterms:modified xsi:type="dcterms:W3CDTF">2020-07-16T12:41:00Z</dcterms:modified>
</cp:coreProperties>
</file>