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</w:t>
      </w:r>
    </w:p>
    <w:p>
      <w:r>
        <w:t>Patient Name: John Doe</w:t>
      </w:r>
    </w:p>
    <w:p>
      <w:r>
        <w:t>Date of Birth: 1980-05-15</w:t>
      </w:r>
    </w:p>
    <w:p>
      <w:r>
        <w:t>Date of Examination: 2026-06-25</w:t>
      </w:r>
    </w:p>
    <w:p>
      <w:pPr>
        <w:pStyle w:val="Heading1"/>
      </w:pPr>
      <w:r>
        <w:t>Clinical Findings</w:t>
      </w:r>
    </w:p>
    <w:p>
      <w:r>
        <w:t>The patient presented with mild chest congestion and fatigue. Lung sounds were clear bilaterally. Cardiovascular examination showed regular rhythm without murmurs. Blood pressure was measured at 120/80 mmHg.</w:t>
      </w:r>
    </w:p>
    <w:p>
      <w:pPr>
        <w:pStyle w:val="Heading1"/>
      </w:pPr>
      <w:r>
        <w:t>Diagnosis &amp; Recommendation</w:t>
      </w:r>
    </w:p>
    <w:p>
      <w:r>
        <w:t>Mild respiratory infection. The patient is advised to rest, drink plenty of fluids, and take over-the-counter decongestants if symptoms persist. Follow-up is recommended in 7 days if no improvement is 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