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Aгджабекова</w:t>
      </w:r>
      <w:r>
        <w:t xml:space="preserve"> </w:t>
      </w:r>
      <w:r>
        <w:t xml:space="preserve">Эся</w:t>
      </w:r>
      <w:r>
        <w:t xml:space="preserve"> </w:t>
      </w:r>
      <w:r>
        <w:t xml:space="preserve">Рустамовна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программ лабораторной работы № 6, перешла в него и создала файл lab6-1.asm.</w:t>
      </w:r>
      <w:r>
        <w:br/>
      </w:r>
      <w:r>
        <w:t xml:space="preserve">(рис. 1)</w:t>
      </w:r>
    </w:p>
    <w:p>
      <w:pPr>
        <w:pStyle w:val="CaptionedFigure"/>
      </w:pPr>
      <w:r>
        <w:drawing>
          <wp:inline>
            <wp:extent cx="5334000" cy="2410479"/>
            <wp:effectExtent b="0" l="0" r="0" t="0"/>
            <wp:docPr descr="Подготовила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Подготовила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 eax.</w:t>
      </w:r>
    </w:p>
    <w:p>
      <w:pPr>
        <w:pStyle w:val="CaptionedFigure"/>
      </w:pPr>
      <w:r>
        <w:drawing>
          <wp:inline>
            <wp:extent cx="5334000" cy="3758859"/>
            <wp:effectExtent b="0" l="0" r="0" t="0"/>
            <wp:docPr descr="Программа в файле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lab6-1.asm</w:t>
      </w:r>
    </w:p>
    <w:p>
      <w:pPr>
        <w:pStyle w:val="BodyText"/>
      </w:pPr>
      <w:r>
        <w:t xml:space="preserve">В данной программе (рис. 2) я записываю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br/>
      </w:r>
      <w:r>
        <w:t xml:space="preserve">Затем я добавляю значение регистра ebx к значению в регистре eax (add eax, ebx, результат сложения записывается в регистр eax).</w:t>
      </w:r>
      <w:r>
        <w:br/>
      </w:r>
      <w:r>
        <w:t xml:space="preserve">После этого я вывожу результат.</w:t>
      </w:r>
      <w:r>
        <w:br/>
      </w:r>
      <w:r>
        <w:t xml:space="preserve">Однако, для использования функции sprintLF, необходимо, чтобы в регистре eax был записан адрес, поэтому я использую дополнительную переменную.</w:t>
      </w:r>
      <w:r>
        <w:br/>
      </w:r>
      <w:r>
        <w:t xml:space="preserve">Я записываю значение регистра eax в переменную buf1 (mov [buf1], eax),</w:t>
      </w:r>
      <w:r>
        <w:br/>
      </w:r>
      <w:r>
        <w:t xml:space="preserve">а затем записываю адрес переменной buf1 в регистр eax (mov eax, buf1) и вызываю функцию sprintLF.</w:t>
      </w:r>
    </w:p>
    <w:p>
      <w:pPr>
        <w:pStyle w:val="CaptionedFigure"/>
      </w:pPr>
      <w:r>
        <w:drawing>
          <wp:inline>
            <wp:extent cx="5334000" cy="1327466"/>
            <wp:effectExtent b="0" l="0" r="0" t="0"/>
            <wp:docPr descr="Запуск программы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lab6-1.asm</w:t>
      </w:r>
    </w:p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br/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br/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br/>
      </w:r>
      <w:r>
        <w:t xml:space="preserve">Когда я выполняю команду add eax, ebx, результатом будет сумма кодов - 01101010 (или 106 в десятичном представлении),</w:t>
      </w:r>
      <w:r>
        <w:br/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3)</w:t>
      </w:r>
    </w:p>
    <w:p>
      <w:pPr>
        <w:pStyle w:val="BodyText"/>
      </w:pPr>
      <w:r>
        <w:t xml:space="preserve">Далее я изменила текст программы и вместо символов записала в регистры числа. (рис. 4)</w:t>
      </w:r>
    </w:p>
    <w:p>
      <w:pPr>
        <w:pStyle w:val="CaptionedFigure"/>
      </w:pPr>
      <w:r>
        <w:drawing>
          <wp:inline>
            <wp:extent cx="5082138" cy="4475747"/>
            <wp:effectExtent b="0" l="0" r="0" t="0"/>
            <wp:docPr descr="Программа в файле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447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lab6-1.asm</w:t>
      </w:r>
    </w:p>
    <w:p>
      <w:pPr>
        <w:pStyle w:val="CaptionedFigure"/>
      </w:pPr>
      <w:r>
        <w:drawing>
          <wp:inline>
            <wp:extent cx="5334000" cy="1500944"/>
            <wp:effectExtent b="0" l="0" r="0" t="0"/>
            <wp:docPr descr="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lab6-1.asm</w:t>
      </w:r>
    </w:p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br/>
      </w:r>
      <w:r>
        <w:t xml:space="preserve">Вместо этого выводится символ с кодом 10, который представляет собой символ конца строки (возврат каретки).</w:t>
      </w:r>
      <w:r>
        <w:br/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</w:t>
      </w:r>
      <w:r>
        <w:br/>
      </w:r>
      <w:r>
        <w:t xml:space="preserve">Я преобразовала текст программы с использованием этих функций. (рис. 6)</w:t>
      </w:r>
    </w:p>
    <w:p>
      <w:pPr>
        <w:pStyle w:val="CaptionedFigure"/>
      </w:pPr>
      <w:r>
        <w:drawing>
          <wp:inline>
            <wp:extent cx="3532471" cy="2887578"/>
            <wp:effectExtent b="0" l="0" r="0" t="0"/>
            <wp:docPr descr="Программа в файле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lab6-2.asm</w:t>
      </w:r>
    </w:p>
    <w:p>
      <w:pPr>
        <w:pStyle w:val="CaptionedFigure"/>
      </w:pPr>
      <w:r>
        <w:drawing>
          <wp:inline>
            <wp:extent cx="5334000" cy="1158515"/>
            <wp:effectExtent b="0" l="0" r="0" t="0"/>
            <wp:docPr descr="Запуск программы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lab6-2.asm</w:t>
      </w:r>
    </w:p>
    <w:p>
      <w:pPr>
        <w:pStyle w:val="BodyText"/>
      </w:pPr>
      <w:r>
        <w:t xml:space="preserve">В результате выполнения программы я получаю число 106. (рис. 7)</w:t>
      </w:r>
      <w:r>
        <w:br/>
      </w:r>
      <w:r>
        <w:t xml:space="preserve">В данном случае, как и в первом примере,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br/>
      </w:r>
      <w:r>
        <w:t xml:space="preserve">Однако, в отличие от предыдущей программы,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примеру, я изменила символы на числа. (рис. 8)</w:t>
      </w:r>
    </w:p>
    <w:p>
      <w:pPr>
        <w:pStyle w:val="CaptionedFigure"/>
      </w:pPr>
      <w:r>
        <w:drawing>
          <wp:inline>
            <wp:extent cx="4408370" cy="3965608"/>
            <wp:effectExtent b="0" l="0" r="0" t="0"/>
            <wp:docPr descr="Программа в файле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39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файле lab6-2.asm</w:t>
      </w:r>
    </w:p>
    <w:p>
      <w:pPr>
        <w:pStyle w:val="BodyText"/>
      </w:pPr>
      <w:r>
        <w:t xml:space="preserve">Функция iprintLF позволяет вывести число, и операндами были числа (а не коды символов).</w:t>
      </w:r>
      <w:r>
        <w:br/>
      </w:r>
      <w:r>
        <w:t xml:space="preserve">Поэтому получаем число 10. (рис. 9)</w:t>
      </w:r>
    </w:p>
    <w:p>
      <w:pPr>
        <w:pStyle w:val="CaptionedFigure"/>
      </w:pPr>
      <w:r>
        <w:drawing>
          <wp:inline>
            <wp:extent cx="5334000" cy="1479908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Я заменила функцию iprintLF на iprint. Создала исполняемый файл и запустила его.</w:t>
      </w:r>
      <w:r>
        <w:br/>
      </w:r>
      <w:r>
        <w:t xml:space="preserve">Вывод отличается тем, что нет переноса строки. (рис. 10)</w:t>
      </w:r>
    </w:p>
    <w:p>
      <w:pPr>
        <w:pStyle w:val="CaptionedFigure"/>
      </w:pPr>
      <w:r>
        <w:drawing>
          <wp:inline>
            <wp:extent cx="5334000" cy="2208292"/>
            <wp:effectExtent b="0" l="0" r="0" t="0"/>
            <wp:docPr descr="Запуск программы lab6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lab6-2.asm</w:t>
      </w:r>
    </w:p>
    <w:p>
      <w:pPr>
        <w:pStyle w:val="BodyText"/>
      </w:pPr>
      <w:r>
        <w:t xml:space="preserve">В качестве примера выполнения арифметических операций в NASM привожу программу вычисления арифметического выражения (рис. 11) (рис. 12)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5130265" cy="5342021"/>
            <wp:effectExtent b="0" l="0" r="0" t="0"/>
            <wp:docPr descr="Программа в файле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lab6-3.asm</w:t>
      </w:r>
    </w:p>
    <w:p>
      <w:pPr>
        <w:pStyle w:val="CaptionedFigure"/>
      </w:pPr>
      <w:r>
        <w:drawing>
          <wp:inline>
            <wp:extent cx="5334000" cy="1037837"/>
            <wp:effectExtent b="0" l="0" r="0" t="0"/>
            <wp:docPr descr="Запуск программы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Я изменила текст программы для вычисления выражения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br/>
      </w:r>
      <w:r>
        <w:t xml:space="preserve">Создала исполняемый файл и проверила его работу. (рис. 13) (рис. 14)</w:t>
      </w:r>
    </w:p>
    <w:p>
      <w:pPr>
        <w:pStyle w:val="CaptionedFigure"/>
      </w:pPr>
      <w:r>
        <w:drawing>
          <wp:inline>
            <wp:extent cx="5334000" cy="1037837"/>
            <wp:effectExtent b="0" l="0" r="0" t="0"/>
            <wp:docPr descr="Программа в файле lab6-3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lab6-3.asm</w:t>
      </w:r>
    </w:p>
    <w:p>
      <w:pPr>
        <w:pStyle w:val="CaptionedFigure"/>
      </w:pPr>
      <w:r>
        <w:drawing>
          <wp:inline>
            <wp:extent cx="5188016" cy="5255393"/>
            <wp:effectExtent b="0" l="0" r="0" t="0"/>
            <wp:docPr descr="Запуск программы lab6-3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lab6-3.asm</w:t>
      </w:r>
    </w:p>
    <w:p>
      <w:pPr>
        <w:pStyle w:val="BodyText"/>
      </w:pPr>
      <w:r>
        <w:t xml:space="preserve">В качестве другого примера рассматриваю программу вычисления варианта задания по номеру студенческого билета. (рис. 15) (рис. 16)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</w:t>
      </w:r>
      <w:r>
        <w:br/>
      </w:r>
      <w:r>
        <w:t xml:space="preserve">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</w:t>
      </w:r>
      <w:r>
        <w:br/>
      </w:r>
      <w:r>
        <w:t xml:space="preserve">Для этого может быть использована функция atoi из файла in_out.asm.</w:t>
      </w:r>
    </w:p>
    <w:p>
      <w:pPr>
        <w:pStyle w:val="CaptionedFigure"/>
      </w:pPr>
      <w:r>
        <w:drawing>
          <wp:inline>
            <wp:extent cx="5334000" cy="5171494"/>
            <wp:effectExtent b="0" l="0" r="0" t="0"/>
            <wp:docPr descr="Программа в файле variant.asm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в файле variant.asm</w:t>
      </w:r>
    </w:p>
    <w:p>
      <w:pPr>
        <w:pStyle w:val="CaptionedFigure"/>
      </w:pPr>
      <w:r>
        <w:drawing>
          <wp:inline>
            <wp:extent cx="5334000" cy="1156098"/>
            <wp:effectExtent b="0" l="0" r="0" t="0"/>
            <wp:docPr descr="Запуск программы variant.asm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variant.asm</w:t>
      </w:r>
    </w:p>
    <w:bookmarkStart w:id="68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вывод на экран сообщения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Ваш вариант:</w:t>
      </w:r>
      <w:r>
        <w:rPr>
          <w:b/>
          <w:bCs/>
        </w:rPr>
        <w:t xml:space="preserve">’</w:t>
      </w:r>
      <w:r>
        <w:rPr>
          <w:b/>
          <w:bCs/>
        </w:rPr>
        <w:t xml:space="preserve">?</w:t>
      </w:r>
    </w:p>
    <w:p>
      <w:pPr>
        <w:numPr>
          <w:ilvl w:val="0"/>
          <w:numId w:val="1000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используются следующие инструкции?</w:t>
      </w:r>
    </w:p>
    <w:p>
      <w:pPr>
        <w:numPr>
          <w:ilvl w:val="0"/>
          <w:numId w:val="100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NASM.</w:t>
      </w:r>
      <w:r>
        <w:br/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  <w:r>
        <w:br/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  <w:r>
        <w:br/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используется инструкция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call atoi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numPr>
          <w:ilvl w:val="0"/>
          <w:numId w:val="100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вычисления варианта?</w:t>
      </w:r>
    </w:p>
    <w:p>
      <w:pPr>
        <w:numPr>
          <w:ilvl w:val="0"/>
          <w:numId w:val="1000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 какой регистр записывается остаток от деления при выполнении инструкции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div ebx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numPr>
          <w:ilvl w:val="0"/>
          <w:numId w:val="1000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используется инструкция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inc edx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numPr>
          <w:ilvl w:val="0"/>
          <w:numId w:val="100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00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68"/>
    <w:bookmarkStart w:id="75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Я написала программу вычисления выражения y = f(x). Программа должна выводить выражение для вычисления,</w:t>
      </w:r>
      <w:r>
        <w:br/>
      </w:r>
      <w:r>
        <w:t xml:space="preserve">выводить запрос на ввод значения x, вычислять заданное выражение в зависимости от введенного x, выводить результат вычислений.</w:t>
      </w:r>
      <w:r>
        <w:br/>
      </w:r>
      <w:r>
        <w:t xml:space="preserve">Вид функции f(x) выбрала из таблицы 6.3 вариантов заданий в соответствии с номером, полученным при выполнении лабораторной работы.</w:t>
      </w:r>
      <w:r>
        <w:br/>
      </w:r>
      <w:r>
        <w:t xml:space="preserve">Создала исполняемый файл и проверила его работу для значений x1 и x2 из 6.3.</w:t>
      </w:r>
    </w:p>
    <w:p>
      <w:pPr>
        <w:pStyle w:val="BodyText"/>
      </w:pPr>
      <w:r>
        <w:t xml:space="preserve">Получили вариант 15 -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(рис. 17) (рис. 18)</w:t>
      </w:r>
    </w:p>
    <w:p>
      <w:pPr>
        <w:pStyle w:val="CaptionedFigure"/>
      </w:pPr>
      <w:r>
        <w:drawing>
          <wp:inline>
            <wp:extent cx="4668252" cy="5524901"/>
            <wp:effectExtent b="0" l="0" r="0" t="0"/>
            <wp:docPr descr="Программа в файле task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в файле task.asm</w:t>
      </w:r>
    </w:p>
    <w:p>
      <w:pPr>
        <w:pStyle w:val="CaptionedFigure"/>
      </w:pPr>
      <w:r>
        <w:drawing>
          <wp:inline>
            <wp:extent cx="5334000" cy="1750476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task.asm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Aгджабекова Эся Рустамовна НПИбд-01-24</dc:creator>
  <dc:language>ru-RU</dc:language>
  <cp:keywords/>
  <dcterms:created xsi:type="dcterms:W3CDTF">2024-11-06T13:09:55Z</dcterms:created>
  <dcterms:modified xsi:type="dcterms:W3CDTF">2024-11-06T13:09:55Z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