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Aгджабекова</w:t>
      </w:r>
      <w:r>
        <w:t xml:space="preserve"> </w:t>
      </w:r>
      <w:r>
        <w:t xml:space="preserve">Эся</w:t>
      </w:r>
      <w:r>
        <w:t xml:space="preserve"> </w:t>
      </w:r>
      <w:r>
        <w:t xml:space="preserve">Рустамовна</w:t>
      </w:r>
      <w:r>
        <w:t xml:space="preserve"> </w:t>
      </w:r>
      <w:r>
        <w:t xml:space="preserve">НПИбд-01-24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каталог для выполнения лабораторной работы № 9 и перешла в него.</w:t>
      </w:r>
      <w:r>
        <w:br/>
      </w:r>
      <w:r>
        <w:t xml:space="preserve">Затем я создала файл lab9-1.asm.</w:t>
      </w:r>
    </w:p>
    <w:p>
      <w:pPr>
        <w:pStyle w:val="BodyText"/>
      </w:pPr>
      <w:r>
        <w:t xml:space="preserve">В качестве примера рассматривала программу для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br/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  <w:r>
        <w:br/>
      </w:r>
      <w:r>
        <w:t xml:space="preserve">(рис. 1) (рис. 2)</w:t>
      </w:r>
    </w:p>
    <w:p>
      <w:pPr>
        <w:pStyle w:val="CaptionedFigure"/>
      </w:pPr>
      <w:r>
        <w:drawing>
          <wp:inline>
            <wp:extent cx="5334000" cy="5674468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295285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Я изменила текст программы, добавив подпрограмму subcalcul в подпрограмму calcul, 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5334000" cy="5983497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061861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Создала файл lab9-2.asm с текстом программы из Листинга 9.2 (Программа печати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). (рис. 5)</w:t>
      </w:r>
    </w:p>
    <w:p>
      <w:pPr>
        <w:pStyle w:val="CaptionedFigure"/>
      </w:pPr>
      <w:r>
        <w:drawing>
          <wp:inline>
            <wp:extent cx="4427621" cy="4831882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483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Получила исполняемый файл и добавила отладочную информацию с помощью ключа -g для работы с GDB.</w:t>
      </w:r>
    </w:p>
    <w:p>
      <w:pPr>
        <w:pStyle w:val="BodyText"/>
      </w:pPr>
      <w:r>
        <w:t xml:space="preserve">Загрузила исполняемый файл в отладчик GDB и проверила работу программы, запустив её с помощью команды run (сокращенно r). (рис. 6)</w:t>
      </w:r>
    </w:p>
    <w:p>
      <w:pPr>
        <w:pStyle w:val="CaptionedFigure"/>
      </w:pPr>
      <w:r>
        <w:drawing>
          <wp:inline>
            <wp:extent cx="5334000" cy="3661646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программы, установила точку останова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 с которой начинается выполнение любой ассемблерной программы,</w:t>
      </w:r>
      <w:r>
        <w:br/>
      </w:r>
      <w:r>
        <w:t xml:space="preserve">и запустила её. Затем просмотрела дизассемблированный код программы. (рис. 7) (рис. 8)</w:t>
      </w:r>
    </w:p>
    <w:p>
      <w:pPr>
        <w:pStyle w:val="CaptionedFigure"/>
      </w:pPr>
      <w:r>
        <w:drawing>
          <wp:inline>
            <wp:extent cx="5334000" cy="4944555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4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349067"/>
            <wp:effectExtent b="0" l="0" r="0" t="0"/>
            <wp:docPr descr="Дизассемблированный код в режиме Intel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Для проверки точки остановки по имени метки ’_start’, использовала команду info breakpoints (сокращенно i b).</w:t>
      </w:r>
      <w:r>
        <w:br/>
      </w:r>
      <w:r>
        <w:t xml:space="preserve">Затем установила ещё одну точку останова по адресу инструкции, определив адрес предпоследней инструкции mov ebx, 0x0. (рис. 9)</w:t>
      </w:r>
    </w:p>
    <w:p>
      <w:pPr>
        <w:pStyle w:val="CaptionedFigure"/>
      </w:pPr>
      <w:r>
        <w:drawing>
          <wp:inline>
            <wp:extent cx="5334000" cy="4592443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 а также изменять значения регистров и переменных.</w:t>
      </w:r>
      <w:r>
        <w:br/>
      </w:r>
      <w:r>
        <w:t xml:space="preserve">Выполнила 5 инструкций с помощью команды stepi (сокращенно si) и отследила изменение значений регистров. (рис. 10) (рис. 11)</w:t>
      </w:r>
    </w:p>
    <w:p>
      <w:pPr>
        <w:pStyle w:val="CaptionedFigure"/>
      </w:pPr>
      <w:r>
        <w:drawing>
          <wp:inline>
            <wp:extent cx="5334000" cy="4598948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633182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3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Просмотрела значение переменной msg1 по имени и получила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12)</w:t>
      </w:r>
    </w:p>
    <w:p>
      <w:pPr>
        <w:pStyle w:val="CaptionedFigure"/>
      </w:pPr>
      <w:r>
        <w:drawing>
          <wp:inline>
            <wp:extent cx="5334000" cy="4599844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использовала команду set, указав имя регистра или адрес в качестве аргумента.</w:t>
      </w:r>
      <w:r>
        <w:br/>
      </w:r>
      <w:r>
        <w:t xml:space="preserve">Изменила первый символ переменной msg1. (рис. 13)</w:t>
      </w:r>
    </w:p>
    <w:p>
      <w:pPr>
        <w:pStyle w:val="CaptionedFigure"/>
      </w:pPr>
      <w:r>
        <w:drawing>
          <wp:inline>
            <wp:extent cx="5334000" cy="4608419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изменила значение регистра ebx на нужное значение. (рис. 14)</w:t>
      </w:r>
    </w:p>
    <w:p>
      <w:pPr>
        <w:pStyle w:val="CaptionedFigure"/>
      </w:pPr>
      <w:r>
        <w:drawing>
          <wp:inline>
            <wp:extent cx="5334000" cy="4613715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Скопировала файл lab8-2.asm, созданный во время выполнения лабораторной работы №8, который содержит программу для вывода аргументов командной строки.</w:t>
      </w:r>
      <w:r>
        <w:br/>
      </w:r>
      <w:r>
        <w:t xml:space="preserve">Создала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использовала ключ –args и загрузила исполняемый файл в отладчик с указанными аргументами.</w:t>
      </w:r>
    </w:p>
    <w:p>
      <w:pPr>
        <w:pStyle w:val="BodyText"/>
      </w:pPr>
      <w:r>
        <w:t xml:space="preserve">Установила точку останова перед первой инструкцией программы и запустила её.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 (включая имя программы), хранится в регистре esp.</w:t>
      </w:r>
      <w:r>
        <w:br/>
      </w:r>
      <w:r>
        <w:t xml:space="preserve">По этому адресу находится число, указывающее количество аргументов. В данном случае видно, что количество аргументов равно 5, включая имя программы lab9-3 и сами аргументы:</w:t>
      </w:r>
      <w:r>
        <w:br/>
      </w:r>
      <w:r>
        <w:t xml:space="preserve">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Просмотрела остальные позиции стека.</w:t>
      </w:r>
      <w:r>
        <w:br/>
      </w:r>
      <w:r>
        <w:t xml:space="preserve">По адресу [esp+4] находится адрес в памяти, где располагается имя программы.</w:t>
      </w:r>
      <w:r>
        <w:br/>
      </w:r>
      <w:r>
        <w:t xml:space="preserve">По адресу [esp+8] хранится адрес первого аргумента, по адресу [esp+12] - второго и так далее. (рис. 15)</w:t>
      </w:r>
    </w:p>
    <w:p>
      <w:pPr>
        <w:pStyle w:val="CaptionedFigure"/>
      </w:pPr>
      <w:r>
        <w:drawing>
          <wp:inline>
            <wp:extent cx="5334000" cy="4600083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84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Преобразовала программу из лабораторной работы №8 (Задание №1 для самостоятельной работы), реализовав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r>
        <w:drawing>
          <wp:inline>
            <wp:extent cx="5168766" cy="6535553"/>
            <wp:effectExtent b="0" l="0" r="0" t="0"/>
            <wp:docPr descr="Программа в файле prog-1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653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r>
        <w:drawing>
          <wp:inline>
            <wp:extent cx="5334000" cy="1807633"/>
            <wp:effectExtent b="0" l="0" r="0" t="0"/>
            <wp:docPr descr="Запуск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br/>
      </w:r>
      <w:r>
        <w:t xml:space="preserve">При запуске данная программа даёт неверный результат. Проверила это, 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Определила ошибку — перепутан порядок аргументов у инструкции add.</w:t>
      </w:r>
      <w:r>
        <w:br/>
      </w:r>
      <w:r>
        <w:t xml:space="preserve">Также обнаружила, что по окончании работы в edi отправляется ebx вместо eax. (рис. 18)</w:t>
      </w:r>
    </w:p>
    <w:p>
      <w:pPr>
        <w:pStyle w:val="CaptionedFigure"/>
      </w:pPr>
      <w:r>
        <w:drawing>
          <wp:inline>
            <wp:extent cx="4774130" cy="4331368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433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609869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Отметила, что перепутан порядок аргументов у инструкции add и что по окончании работы в edi отправляется ebx вместо eax (рис. 19).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475747" cy="4321743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432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594248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работу с подпрограммами и отладчиком.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Aгджабекова Эся Рустамовна НПИбд-01-24</dc:creator>
  <dc:language>ru-RU</dc:language>
  <cp:keywords/>
  <dcterms:created xsi:type="dcterms:W3CDTF">2024-11-29T12:52:53Z</dcterms:created>
  <dcterms:modified xsi:type="dcterms:W3CDTF">2024-11-29T12:52:53Z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