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4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  <w:pStyle w:val="Compact"/>
      </w:pPr>
      <w:r>
        <w:t xml:space="preserve">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, отобразившая информацию о сетевых интерфейсах и статистике пакетов.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, что свидетельствует о его активности.</w:t>
      </w:r>
      <w:r>
        <w:br/>
      </w:r>
      <w:r>
        <w:t xml:space="preserve">Показаны данные о количестве переданных и полученных байтов и пакетов, а также об ошибках при передаче 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3994989"/>
            <wp:effectExtent b="0" l="0" r="0" t="0"/>
            <wp:docPr descr="Рис. 1: Информация о сетевых интерфейсах и статистике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Информация о сетевых интерфейсах и статистике пакетов</w:t>
      </w:r>
    </w:p>
    <w:p>
      <w:pPr>
        <w:numPr>
          <w:ilvl w:val="0"/>
          <w:numId w:val="1002"/>
        </w:numPr>
      </w:pPr>
      <w:r>
        <w:t xml:space="preserve">Просмотрены текущие маршруты с помощью команды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  <w:r>
        <w:br/>
      </w:r>
      <w:r>
        <w:t xml:space="preserve">Из вывода видно, что используется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, а основной шлюз маршрутизации —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(см. рис. fig. 1).</w:t>
      </w:r>
    </w:p>
    <w:p>
      <w:pPr>
        <w:numPr>
          <w:ilvl w:val="0"/>
          <w:numId w:val="1002"/>
        </w:numPr>
      </w:pPr>
      <w:r>
        <w:t xml:space="preserve">Проверена текущая адресация командой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IPv6-адрес</w:t>
      </w:r>
      <w:r>
        <w:t xml:space="preserve"> </w:t>
      </w:r>
      <w:r>
        <w:rPr>
          <w:bCs/>
          <w:b/>
        </w:rPr>
        <w:t xml:space="preserve">fd17:625c:f037:2:a00:27ff:fe03:1394</w:t>
      </w:r>
      <w:r>
        <w:t xml:space="preserve"> </w:t>
      </w:r>
      <w:r>
        <w:t xml:space="preserve">(см. рис. fig. 1).</w:t>
      </w:r>
    </w:p>
    <w:p>
      <w:pPr>
        <w:numPr>
          <w:ilvl w:val="0"/>
          <w:numId w:val="1002"/>
        </w:numPr>
      </w:pPr>
      <w:r>
        <w:t xml:space="preserve">Проверено сетевое подключение к Интернету с помощью команды</w:t>
      </w:r>
      <w:r>
        <w:t xml:space="preserve"> </w:t>
      </w:r>
      <w:r>
        <w:rPr>
          <w:rStyle w:val="VerbatimChar"/>
        </w:rPr>
        <w:t xml:space="preserve">ping -c 4 8.8.8.8</w:t>
      </w:r>
      <w:r>
        <w:t xml:space="preserve">.</w:t>
      </w:r>
      <w:r>
        <w:br/>
      </w:r>
      <w:r>
        <w:t xml:space="preserve">Все четыре пакета были успешно переданы и получены, потерь нет, что подтверждает исправность соединения 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3821750"/>
            <wp:effectExtent b="0" l="0" r="0" t="0"/>
            <wp:docPr descr="Рис. 2: Проверка соединения командой ping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Проверка соединения командой ping</w:t>
      </w:r>
    </w:p>
    <w:p>
      <w:pPr>
        <w:numPr>
          <w:ilvl w:val="0"/>
          <w:numId w:val="1003"/>
        </w:numPr>
      </w:pPr>
      <w:r>
        <w:t xml:space="preserve">Добавлен дополнительный IP-адрес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помощью команды</w:t>
      </w:r>
      <w:r>
        <w:br/>
      </w:r>
      <w:r>
        <w:rPr>
          <w:rStyle w:val="VerbatimChar"/>
        </w:rPr>
        <w:t xml:space="preserve">ip addr add 10.0.0.10/24 dev enp0s3</w:t>
      </w:r>
      <w:r>
        <w:t xml:space="preserve">.</w:t>
      </w:r>
      <w:r>
        <w:br/>
      </w:r>
      <w:r>
        <w:t xml:space="preserve">Проверено, что адрес добавился, — он отображается в выводе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(см. рис. fig. 2).</w:t>
      </w:r>
    </w:p>
    <w:p>
      <w:pPr>
        <w:numPr>
          <w:ilvl w:val="0"/>
          <w:numId w:val="1003"/>
        </w:numPr>
      </w:pPr>
      <w:r>
        <w:t xml:space="preserve">Сравнены данные команд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  <w:r>
        <w:br/>
      </w:r>
      <w:r>
        <w:t xml:space="preserve">Обе утилиты показывают активный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одинаковыми адресами и состоянием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(см. рис. fig. 4).</w:t>
      </w:r>
    </w:p>
    <w:p>
      <w:pPr>
        <w:pStyle w:val="CaptionedFigure"/>
      </w:pPr>
      <w:bookmarkStart w:id="32" w:name="fig:003"/>
      <w:r>
        <w:drawing>
          <wp:inline>
            <wp:extent cx="5334000" cy="3301761"/>
            <wp:effectExtent b="0" l="0" r="0" t="0"/>
            <wp:docPr descr="Рис. 3: Вывод команд ifconfig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Вывод команд ifconfig</w:t>
      </w:r>
    </w:p>
    <w:p>
      <w:pPr>
        <w:numPr>
          <w:ilvl w:val="0"/>
          <w:numId w:val="1004"/>
        </w:numPr>
        <w:pStyle w:val="Compact"/>
      </w:pPr>
      <w:r>
        <w:t xml:space="preserve">Выполнен просмотр всех прослушиваемых портов TCP и UDP с помощью команды</w:t>
      </w:r>
      <w:r>
        <w:t xml:space="preserve"> </w:t>
      </w:r>
      <w:r>
        <w:rPr>
          <w:rStyle w:val="VerbatimChar"/>
        </w:rPr>
        <w:t xml:space="preserve">ss -tul</w:t>
      </w:r>
      <w:r>
        <w:t xml:space="preserve">.</w:t>
      </w:r>
      <w:r>
        <w:br/>
      </w:r>
      <w:r>
        <w:t xml:space="preserve">В списке присутствуют службы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</w:t>
      </w:r>
      <w:r>
        <w:t xml:space="preserve"> </w:t>
      </w:r>
      <w:r>
        <w:rPr>
          <w:bCs/>
          <w:b/>
        </w:rPr>
        <w:t xml:space="preserve">ipp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websm</w:t>
      </w:r>
      <w:r>
        <w:t xml:space="preserve"> </w:t>
      </w:r>
      <w:r>
        <w:t xml:space="preserve">(см. рис. fig. 3).</w:t>
      </w:r>
    </w:p>
    <w:bookmarkEnd w:id="33"/>
    <w:bookmarkStart w:id="46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5"/>
        </w:numPr>
        <w:pStyle w:val="Compact"/>
      </w:pPr>
      <w:r>
        <w:t xml:space="preserve">Получены административные права и выведен список существующих подключений командой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(см. рис. fig. 4).</w:t>
      </w:r>
    </w:p>
    <w:p>
      <w:pPr>
        <w:pStyle w:val="CaptionedFigure"/>
      </w:pPr>
      <w:bookmarkStart w:id="37" w:name="fig:004"/>
      <w:r>
        <w:drawing>
          <wp:inline>
            <wp:extent cx="5334000" cy="2310078"/>
            <wp:effectExtent b="0" l="0" r="0" t="0"/>
            <wp:docPr descr="Рис. 4: Вывод команды nmcli connection show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Вывод команды nmcli connection show</w:t>
      </w:r>
    </w:p>
    <w:p>
      <w:pPr>
        <w:numPr>
          <w:ilvl w:val="0"/>
          <w:numId w:val="1006"/>
        </w:numPr>
      </w:pPr>
      <w:r>
        <w:t xml:space="preserve">Добавлено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, а затем —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ручной настройкой адресации.</w:t>
      </w:r>
      <w:r>
        <w:br/>
      </w:r>
      <w:r>
        <w:t xml:space="preserve">Проверено наличие обоих подключений в списке (см. рис. fig. 4).</w:t>
      </w:r>
    </w:p>
    <w:p>
      <w:pPr>
        <w:numPr>
          <w:ilvl w:val="0"/>
          <w:numId w:val="1006"/>
        </w:numPr>
      </w:pPr>
      <w:r>
        <w:t xml:space="preserve">Активировано статическое соединение командой</w:t>
      </w:r>
      <w:r>
        <w:t xml:space="preserve"> </w:t>
      </w:r>
      <w:r>
        <w:rPr>
          <w:rStyle w:val="VerbatimChar"/>
        </w:rPr>
        <w:t xml:space="preserve">nmcli connection up static</w:t>
      </w:r>
      <w:r>
        <w:t xml:space="preserve">.</w:t>
      </w:r>
      <w:r>
        <w:br/>
      </w:r>
      <w:r>
        <w:t xml:space="preserve">В выводе команд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видно,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статический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2129785"/>
            <wp:effectExtent b="0" l="0" r="0" t="0"/>
            <wp:docPr descr="Рис. 5: Вывод команды ip addr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Вывод команды ip addr</w:t>
      </w:r>
    </w:p>
    <w:p>
      <w:pPr>
        <w:numPr>
          <w:ilvl w:val="0"/>
          <w:numId w:val="1007"/>
        </w:numPr>
        <w:pStyle w:val="Compact"/>
      </w:pPr>
      <w:r>
        <w:t xml:space="preserve">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После активации интерфейс снова получил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что подтверждено выводом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(см. рис. fig. 6).</w:t>
      </w:r>
    </w:p>
    <w:p>
      <w:pPr>
        <w:pStyle w:val="CaptionedFigure"/>
      </w:pPr>
      <w:bookmarkStart w:id="45" w:name="fig:006"/>
      <w:r>
        <w:drawing>
          <wp:inline>
            <wp:extent cx="5334000" cy="2866374"/>
            <wp:effectExtent b="0" l="0" r="0" t="0"/>
            <wp:docPr descr="Рис. 6: Переключение на соединение dhcp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Переключение на соединение dhcp</w:t>
      </w:r>
    </w:p>
    <w:bookmarkEnd w:id="46"/>
    <w:bookmarkStart w:id="63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8"/>
        </w:numPr>
        <w:pStyle w:val="Compact"/>
      </w:pPr>
      <w:r>
        <w:t xml:space="preserve">Отключено автоподключение 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 добавлены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  <w:r>
        <w:br/>
      </w:r>
      <w:r>
        <w:t xml:space="preserve">Также изменён IP-адрес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 добавлен дополнительный 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После активации соединения</w:t>
      </w:r>
      <w:r>
        <w:t xml:space="preserve"> </w:t>
      </w:r>
      <w:r>
        <w:rPr>
          <w:rStyle w:val="VerbatimChar"/>
        </w:rPr>
        <w:t xml:space="preserve">nmcli connection up static</w:t>
      </w:r>
      <w:r>
        <w:t xml:space="preserve"> </w:t>
      </w:r>
      <w:r>
        <w:t xml:space="preserve">изменения применились успешно (см. рис. fig. 7).</w:t>
      </w:r>
    </w:p>
    <w:p>
      <w:pPr>
        <w:pStyle w:val="CaptionedFigure"/>
      </w:pPr>
      <w:bookmarkStart w:id="50" w:name="fig:007"/>
      <w:r>
        <w:drawing>
          <wp:inline>
            <wp:extent cx="5334000" cy="3403861"/>
            <wp:effectExtent b="0" l="0" r="0" t="0"/>
            <wp:docPr descr="Рис. 7: Изменение параметров соединения static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Изменение параметров соединения static</w:t>
      </w:r>
    </w:p>
    <w:p>
      <w:pPr>
        <w:numPr>
          <w:ilvl w:val="0"/>
          <w:numId w:val="1009"/>
        </w:numPr>
        <w:pStyle w:val="Compact"/>
      </w:pPr>
      <w:r>
        <w:t xml:space="preserve">Используя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, просмотрены параметры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, где отображаются оба IP-адреса,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(см. рис. fig. 8).</w:t>
      </w:r>
    </w:p>
    <w:p>
      <w:pPr>
        <w:pStyle w:val="CaptionedFigure"/>
      </w:pPr>
      <w:bookmarkStart w:id="54" w:name="fig:008"/>
      <w:r>
        <w:drawing>
          <wp:inline>
            <wp:extent cx="5334000" cy="5498123"/>
            <wp:effectExtent b="0" l="0" r="0" t="0"/>
            <wp:docPr descr="Рис. 8: Просмотр параметров static в nmtui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Просмотр параметров static в nmtui</w:t>
      </w:r>
    </w:p>
    <w:p>
      <w:pPr>
        <w:numPr>
          <w:ilvl w:val="0"/>
          <w:numId w:val="1010"/>
        </w:numPr>
        <w:pStyle w:val="Compact"/>
      </w:pPr>
      <w:r>
        <w:t xml:space="preserve">Аналогично проверена конфигурация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, использующего автоматическую настройку IPv4 и IPv6 (см. рис. fig. 9).</w:t>
      </w:r>
    </w:p>
    <w:p>
      <w:pPr>
        <w:pStyle w:val="CaptionedFigure"/>
      </w:pPr>
      <w:bookmarkStart w:id="58" w:name="fig:009"/>
      <w:r>
        <w:drawing>
          <wp:inline>
            <wp:extent cx="5334000" cy="3802625"/>
            <wp:effectExtent b="0" l="0" r="0" t="0"/>
            <wp:docPr descr="Рис. 9: Проверка параметров dhcp в nmtui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Проверка параметров dhcp в nmtui</w:t>
      </w:r>
    </w:p>
    <w:p>
      <w:pPr>
        <w:numPr>
          <w:ilvl w:val="0"/>
          <w:numId w:val="1011"/>
        </w:numPr>
        <w:pStyle w:val="Compact"/>
      </w:pPr>
      <w:r>
        <w:t xml:space="preserve">В графическом интерфейсе операционной системы отображены оба соединения (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) с актуальными параметрами: IPv4-адресом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DNS-серверами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(см. рис. fig. 10).</w:t>
      </w:r>
    </w:p>
    <w:p>
      <w:pPr>
        <w:pStyle w:val="CaptionedFigure"/>
      </w:pPr>
      <w:bookmarkStart w:id="62" w:name="fig:010"/>
      <w:r>
        <w:drawing>
          <wp:inline>
            <wp:extent cx="5334000" cy="4825627"/>
            <wp:effectExtent b="0" l="0" r="0" t="0"/>
            <wp:docPr descr="Рис. 10: Сетевые настройки в графическом интерфейсе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Сетевые настройки в графическом интерфейсе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nmcli device status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Служба: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Файл: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hostnamectl set-hostname &lt;имя_узла&gt;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Файл: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systemctl status NetworkManager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nmcli connection modify &lt;имя_соединения&gt; ipv4.addresses &lt;ip&gt;/&lt;маска&gt; ipv4.gateway &lt;шлюз&gt;</w:t>
      </w:r>
      <w:r>
        <w:t xml:space="preserve">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принципы настройки и управления сетевыми интерфейсами в операционной системе Linux.</w:t>
      </w:r>
      <w:r>
        <w:br/>
      </w:r>
      <w:r>
        <w:t xml:space="preserve">Были рассмотрены команды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,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, а также средства управления соединениями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.</w:t>
      </w:r>
      <w:r>
        <w:br/>
      </w:r>
      <w:r>
        <w:t xml:space="preserve">В процессе работы выполнена настройка интерфейса с динамической (DHCP) и статической адресацией, добавлены дополнительные IP-адреса, маршруты и DNS-серверы.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Агджабекова Эся Рустамовна</dc:creator>
  <dc:language>ru-RU</dc:language>
  <cp:keywords/>
  <dcterms:created xsi:type="dcterms:W3CDTF">2025-10-31T11:31:07Z</dcterms:created>
  <dcterms:modified xsi:type="dcterms:W3CDTF">2025-10-31T11:31:07Z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