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0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41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numPr>
          <w:ilvl w:val="0"/>
          <w:numId w:val="1001"/>
        </w:numPr>
        <w:pStyle w:val="Compact"/>
      </w:pPr>
      <w:r>
        <w:t xml:space="preserve">Получены права администратора. Определена текущая зона по умолчанию, просмотрены доступные зоны и список поддерживаемых сервисов</w:t>
      </w:r>
      <w:r>
        <w:br/>
      </w:r>
      <w:r>
        <w:t xml:space="preserve">(см. рис. fig. 1).</w:t>
      </w:r>
    </w:p>
    <w:p>
      <w:pPr>
        <w:pStyle w:val="CaptionedFigure"/>
      </w:pPr>
      <w:bookmarkStart w:id="24" w:name="fig:001"/>
      <w:r>
        <w:drawing>
          <wp:inline>
            <wp:extent cx="5334000" cy="3013363"/>
            <wp:effectExtent b="0" l="0" r="0" t="0"/>
            <wp:docPr descr="Рис. 1: Определение зоны по умолчанию, доступных зон и сервис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3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Определение зоны по умолчанию, доступных зон и сервисов</w:t>
      </w:r>
    </w:p>
    <w:p>
      <w:pPr>
        <w:numPr>
          <w:ilvl w:val="0"/>
          <w:numId w:val="1002"/>
        </w:numPr>
        <w:pStyle w:val="Compact"/>
      </w:pPr>
      <w:r>
        <w:t xml:space="preserve">Просмотрены активные сервисы в текущей зоне. Сравнён вывод информации при использовании</w:t>
      </w:r>
      <w:r>
        <w:t xml:space="preserve"> </w:t>
      </w:r>
      <w:r>
        <w:rPr>
          <w:rStyle w:val="VerbatimChar"/>
        </w:rPr>
        <w:t xml:space="preserve">list-all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list-all --zone=public</w:t>
      </w:r>
      <w:r>
        <w:br/>
      </w:r>
      <w:r>
        <w:t xml:space="preserve">(см. рис. fig. 2).</w:t>
      </w:r>
    </w:p>
    <w:p>
      <w:pPr>
        <w:pStyle w:val="CaptionedFigure"/>
      </w:pPr>
      <w:bookmarkStart w:id="28" w:name="fig:002"/>
      <w:r>
        <w:drawing>
          <wp:inline>
            <wp:extent cx="5334000" cy="5209228"/>
            <wp:effectExtent b="0" l="0" r="0" t="0"/>
            <wp:docPr descr="Рис. 2: Сравнение вывода list-all и list-all –zone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9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Сравнение вывода list-all и list-all –zone</w:t>
      </w:r>
    </w:p>
    <w:p>
      <w:pPr>
        <w:numPr>
          <w:ilvl w:val="0"/>
          <w:numId w:val="1003"/>
        </w:numPr>
        <w:pStyle w:val="Compact"/>
      </w:pPr>
      <w:r>
        <w:t xml:space="preserve">Временно добавлен сервис</w:t>
      </w:r>
      <w:r>
        <w:t xml:space="preserve"> </w:t>
      </w:r>
      <w:r>
        <w:rPr>
          <w:bCs/>
          <w:b/>
        </w:rPr>
        <w:t xml:space="preserve">vnc-server</w:t>
      </w:r>
      <w:r>
        <w:t xml:space="preserve">. Выполнена проверка — сервис появился в конфигурации.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Выполнен перезапуск службы брандмауэра. Сервис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исчез из конфигурации, так как изменение было внесено только во время выполнения и не сохранилось в постоянной конфигурации</w:t>
      </w:r>
      <w:r>
        <w:br/>
      </w:r>
      <w:r>
        <w:t xml:space="preserve">(см. рис. fig. 3).</w:t>
      </w:r>
    </w:p>
    <w:p>
      <w:pPr>
        <w:pStyle w:val="CaptionedFigure"/>
      </w:pPr>
      <w:bookmarkStart w:id="32" w:name="fig:003"/>
      <w:r>
        <w:drawing>
          <wp:inline>
            <wp:extent cx="5334000" cy="5220359"/>
            <wp:effectExtent b="0" l="0" r="0" t="0"/>
            <wp:docPr descr="Рис. 3: Добавление vnc-server и поведение после перезапу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Добавление vnc-server и поведение после перезапуска</w:t>
      </w:r>
    </w:p>
    <w:p>
      <w:pPr>
        <w:numPr>
          <w:ilvl w:val="0"/>
          <w:numId w:val="1004"/>
        </w:numPr>
        <w:pStyle w:val="Compact"/>
      </w:pPr>
      <w:r>
        <w:t xml:space="preserve">Сервис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добавлен повторно с сохранением в постоянной конфигурации. После перезагрузки конфигурации подтверждено его наличие</w:t>
      </w:r>
      <w:r>
        <w:br/>
      </w:r>
      <w:r>
        <w:t xml:space="preserve">(см. рис. fig. 4).</w:t>
      </w:r>
    </w:p>
    <w:p>
      <w:pPr>
        <w:pStyle w:val="CaptionedFigure"/>
      </w:pPr>
      <w:bookmarkStart w:id="36" w:name="fig:004"/>
      <w:r>
        <w:drawing>
          <wp:inline>
            <wp:extent cx="5334000" cy="5299228"/>
            <wp:effectExtent b="0" l="0" r="0" t="0"/>
            <wp:docPr descr="Рис. 4: Добавление vnc-server в постоянную конфигурацию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9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Добавление vnc-server в постоянную конфигурацию</w:t>
      </w:r>
    </w:p>
    <w:p>
      <w:pPr>
        <w:numPr>
          <w:ilvl w:val="0"/>
          <w:numId w:val="1005"/>
        </w:numPr>
        <w:pStyle w:val="Compact"/>
      </w:pPr>
      <w:r>
        <w:t xml:space="preserve">В постоянную конфигурацию добавлен порт</w:t>
      </w:r>
      <w:r>
        <w:t xml:space="preserve"> </w:t>
      </w:r>
      <w:r>
        <w:rPr>
          <w:bCs/>
          <w:b/>
        </w:rPr>
        <w:t xml:space="preserve">2022/tcp</w:t>
      </w:r>
      <w:r>
        <w:t xml:space="preserve">. После перезагрузки конфигурации подтверждено его появление</w:t>
      </w:r>
      <w:r>
        <w:br/>
      </w:r>
      <w:r>
        <w:t xml:space="preserve">(см. рис. fig. 5).</w:t>
      </w:r>
    </w:p>
    <w:p>
      <w:pPr>
        <w:pStyle w:val="CaptionedFigure"/>
      </w:pPr>
      <w:bookmarkStart w:id="40" w:name="fig:005"/>
      <w:r>
        <w:drawing>
          <wp:inline>
            <wp:extent cx="5334000" cy="3018846"/>
            <wp:effectExtent b="0" l="0" r="0" t="0"/>
            <wp:docPr descr="Рис. 5: Добавление порта 2022/tcp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8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Добавление порта 2022/tcp</w:t>
      </w:r>
    </w:p>
    <w:bookmarkEnd w:id="41"/>
    <w:bookmarkStart w:id="54" w:name="X337778e76dc0dc83800e383e0ddebfd2fe9174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помощью firewall-config</w:t>
      </w:r>
    </w:p>
    <w:p>
      <w:pPr>
        <w:numPr>
          <w:ilvl w:val="0"/>
          <w:numId w:val="1006"/>
        </w:numPr>
        <w:pStyle w:val="Compact"/>
      </w:pPr>
      <w:r>
        <w:t xml:space="preserve">Запущен графический интерфейс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В параметре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 </w:t>
      </w:r>
      <w:r>
        <w:t xml:space="preserve">выбрано значение</w:t>
      </w:r>
      <w:r>
        <w:t xml:space="preserve"> </w:t>
      </w:r>
      <w:r>
        <w:rPr>
          <w:iCs/>
          <w:i/>
        </w:rPr>
        <w:t xml:space="preserve">Permanent</w:t>
      </w:r>
      <w:r>
        <w:t xml:space="preserve">, чтобы все изменения становились постоянными.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Для зоны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включены службы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(см. рис. fig. 6).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На вкладке</w:t>
      </w:r>
      <w:r>
        <w:t xml:space="preserve"> </w:t>
      </w:r>
      <w:r>
        <w:rPr>
          <w:iCs/>
          <w:i/>
        </w:rPr>
        <w:t xml:space="preserve">Ports</w:t>
      </w:r>
      <w:r>
        <w:t xml:space="preserve"> </w:t>
      </w:r>
      <w:r>
        <w:t xml:space="preserve">добавлен порт</w:t>
      </w:r>
      <w:r>
        <w:t xml:space="preserve"> </w:t>
      </w:r>
      <w:r>
        <w:rPr>
          <w:bCs/>
          <w:b/>
        </w:rPr>
        <w:t xml:space="preserve">2022/udp</w:t>
      </w:r>
      <w:r>
        <w:t xml:space="preserve"> </w:t>
      </w:r>
      <w:r>
        <w:t xml:space="preserve">(см. рис. fig. 7).</w:t>
      </w:r>
    </w:p>
    <w:p>
      <w:pPr>
        <w:pStyle w:val="CaptionedFigure"/>
      </w:pPr>
      <w:bookmarkStart w:id="45" w:name="fig:006"/>
      <w:r>
        <w:drawing>
          <wp:inline>
            <wp:extent cx="5334000" cy="4268234"/>
            <wp:effectExtent b="0" l="0" r="0" t="0"/>
            <wp:docPr descr="Рис. 6: Добавление сервисов в графическом интерфейсе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Добавление сервисов в графическом интерфейсе</w:t>
      </w:r>
    </w:p>
    <w:p>
      <w:pPr>
        <w:pStyle w:val="CaptionedFigure"/>
      </w:pPr>
      <w:bookmarkStart w:id="49" w:name="fig:007"/>
      <w:r>
        <w:drawing>
          <wp:inline>
            <wp:extent cx="5334000" cy="4263040"/>
            <wp:effectExtent b="0" l="0" r="0" t="0"/>
            <wp:docPr descr="Рис. 7: Добавление порта 2022/udp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Добавление порта 2022/udp</w:t>
      </w:r>
    </w:p>
    <w:p>
      <w:pPr>
        <w:numPr>
          <w:ilvl w:val="0"/>
          <w:numId w:val="1007"/>
        </w:numPr>
        <w:pStyle w:val="Compact"/>
      </w:pPr>
      <w:r>
        <w:t xml:space="preserve">Проверка показала, что изменения ещё не применены, так как были внесены в постоянную конфигурацию.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После перезагрузки конфигурации все изменения вступили в силу</w:t>
      </w:r>
      <w:r>
        <w:br/>
      </w:r>
      <w:r>
        <w:t xml:space="preserve">(см. рис. fig. 8).</w:t>
      </w:r>
    </w:p>
    <w:p>
      <w:pPr>
        <w:pStyle w:val="CaptionedFigure"/>
      </w:pPr>
      <w:bookmarkStart w:id="53" w:name="fig:008"/>
      <w:r>
        <w:drawing>
          <wp:inline>
            <wp:extent cx="5334000" cy="5993446"/>
            <wp:effectExtent b="0" l="0" r="0" t="0"/>
            <wp:docPr descr="Рис. 8: Активированные службы после reload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3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Активированные службы после reload</w:t>
      </w:r>
    </w:p>
    <w:bookmarkEnd w:id="54"/>
    <w:bookmarkStart w:id="59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8"/>
        </w:numPr>
        <w:pStyle w:val="Compact"/>
      </w:pPr>
      <w:r>
        <w:t xml:space="preserve">Через командную строку добавлена служба</w:t>
      </w:r>
      <w:r>
        <w:t xml:space="preserve"> </w:t>
      </w:r>
      <w:r>
        <w:rPr>
          <w:bCs/>
          <w:b/>
        </w:rPr>
        <w:t xml:space="preserve">telnet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Через графический интерфейс включены службы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smtp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Подтверждено, что все изменения сохранены и применены</w:t>
      </w:r>
      <w:r>
        <w:br/>
      </w:r>
      <w:r>
        <w:t xml:space="preserve">(см. рис. fig. 9).</w:t>
      </w:r>
    </w:p>
    <w:p>
      <w:pPr>
        <w:pStyle w:val="CaptionedFigure"/>
      </w:pPr>
      <w:bookmarkStart w:id="58" w:name="fig:009"/>
      <w:r>
        <w:drawing>
          <wp:inline>
            <wp:extent cx="5334000" cy="3152251"/>
            <wp:effectExtent b="0" l="0" r="0" t="0"/>
            <wp:docPr descr="Рис. 9: Активированные службы: telnet, imap, pop3, smtp" title="" id="56" name="Picture"/>
            <a:graphic>
              <a:graphicData uri="http://schemas.openxmlformats.org/drawingml/2006/picture">
                <pic:pic>
                  <pic:nvPicPr>
                    <pic:cNvPr descr="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Активированные службы: telnet, imap, pop3, smtp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служба должна быть запущена перед началом работы с firewall-config?</w:t>
      </w:r>
      <w:r>
        <w:br/>
      </w:r>
      <w:r>
        <w:t xml:space="preserve">Служба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позволяет добавить UDP-порт 2355 в конфигурацию брандмауэра в зоне по умолчанию?</w:t>
      </w:r>
      <w:r>
        <w:br/>
      </w:r>
      <w:r>
        <w:t xml:space="preserve">Используется параметр</w:t>
      </w:r>
      <w:r>
        <w:t xml:space="preserve"> </w:t>
      </w:r>
      <w:r>
        <w:rPr>
          <w:rStyle w:val="VerbatimChar"/>
        </w:rPr>
        <w:t xml:space="preserve">--add-port=2355/udp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позволяет показать всю конфигурацию брандмауэра во всех зонах?</w:t>
      </w:r>
      <w:r>
        <w:br/>
      </w:r>
      <w:r>
        <w:rPr>
          <w:rStyle w:val="VerbatimChar"/>
        </w:rPr>
        <w:t xml:space="preserve">firewall-cmd --list-all-zones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позволяет удалить службу vnc-server из текущей конфигурации брандмауэра?</w:t>
      </w:r>
      <w:r>
        <w:br/>
      </w:r>
      <w:r>
        <w:t xml:space="preserve">Используется параметр</w:t>
      </w:r>
      <w:r>
        <w:t xml:space="preserve"> </w:t>
      </w:r>
      <w:r>
        <w:rPr>
          <w:rStyle w:val="VerbatimChar"/>
        </w:rPr>
        <w:t xml:space="preserve">--remove-service=vnc-server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firewall-cmd позволяет активировать новую конфигурацию, добавленную опцией –permanent?</w:t>
      </w:r>
      <w:r>
        <w:br/>
      </w:r>
      <w:r>
        <w:rPr>
          <w:rStyle w:val="VerbatimChar"/>
        </w:rPr>
        <w:t xml:space="preserve">firewall-cmd --reload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Какой параметр firewall-cmd позволяет проверить, что новая конфигурация была добавлена в текущую зону и теперь активна?</w:t>
      </w:r>
      <w:r>
        <w:br/>
      </w:r>
      <w:r>
        <w:rPr>
          <w:rStyle w:val="VerbatimChar"/>
        </w:rPr>
        <w:t xml:space="preserve">firewall-cmd --list-all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позволяет добавить интерфейс eno1 в зону public?</w:t>
      </w:r>
      <w:r>
        <w:br/>
      </w:r>
      <w:r>
        <w:t xml:space="preserve">Используется параметр</w:t>
      </w:r>
      <w:r>
        <w:t xml:space="preserve"> </w:t>
      </w:r>
      <w:r>
        <w:rPr>
          <w:rStyle w:val="VerbatimChar"/>
        </w:rPr>
        <w:t xml:space="preserve">--zone=public --add-interface=eno1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Если добавить новый интерфейс в конфигурацию брандмауэра, пока не указана зона, в какую зону он будет добавлен?</w:t>
      </w:r>
      <w:r>
        <w:br/>
      </w:r>
      <w:r>
        <w:t xml:space="preserve">В зону по умолчанию (</w:t>
      </w:r>
      <w:r>
        <w:rPr>
          <w:iCs/>
          <w:i/>
        </w:rPr>
        <w:t xml:space="preserve">default zone</w:t>
      </w:r>
      <w:r>
        <w:t xml:space="preserve">).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способы управления брандмауэром Linux с использованием инструментов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и графической утилиты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 Были получены навыки просмотра активных зон и служб, добавления сервисов и портов как во временную, так и в постоянную конфигурацию. На практике отработано различие между конфигурацией времени выполнения и постоянной конфигурацией, а также применение перезагрузки правил для их активации. В результате закреплены навыки администрирования сетевой безопасности и управления правилами доступа в системах на базе Linux.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Агджабекова Эся Рустамовна</dc:creator>
  <dc:language>ru-RU</dc:language>
  <cp:keywords/>
  <dcterms:created xsi:type="dcterms:W3CDTF">2025-11-05T12:25:34Z</dcterms:created>
  <dcterms:modified xsi:type="dcterms:W3CDTF">2025-11-05T12:25:34Z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