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rPr>
          <w:rFonts w:ascii="Times New Roman" w:hAnsi="Times New Roman" w:eastAsia="Times New Roman"/>
          <w:b w:val="0"/>
          <w:sz w:val="24"/>
        </w:rPr>
        <w:t>Министерство науки и высшего образования Российской Федерации</w:t>
      </w:r>
    </w:p>
    <w:p>
      <w:pPr>
        <w:spacing w:line="360" w:lineRule="auto"/>
        <w:ind w:firstLine="0"/>
        <w:jc w:val="center"/>
      </w:pPr>
      <w:r>
        <w:rPr>
          <w:rFonts w:ascii="Times New Roman" w:hAnsi="Times New Roman" w:eastAsia="Times New Roman"/>
          <w:b w:val="0"/>
          <w:sz w:val="24"/>
        </w:rPr>
        <w:t>Федеральное государственное бюджетное образовательное учреждение</w:t>
      </w:r>
    </w:p>
    <w:p>
      <w:pPr>
        <w:spacing w:line="360" w:lineRule="auto"/>
        <w:ind w:firstLine="0"/>
        <w:jc w:val="center"/>
      </w:pPr>
      <w:r>
        <w:rPr>
          <w:rFonts w:ascii="Times New Roman" w:hAnsi="Times New Roman" w:eastAsia="Times New Roman"/>
          <w:b w:val="0"/>
          <w:sz w:val="24"/>
        </w:rPr>
        <w:t>высшего образования</w:t>
      </w:r>
    </w:p>
    <w:p>
      <w:pPr>
        <w:spacing w:line="360" w:lineRule="auto"/>
        <w:ind w:firstLine="0"/>
        <w:jc w:val="center"/>
      </w:pPr>
      <w:r>
        <w:rPr>
          <w:rFonts w:ascii="Times New Roman" w:hAnsi="Times New Roman" w:eastAsia="Times New Roman"/>
          <w:b w:val="0"/>
          <w:sz w:val="24"/>
        </w:rPr>
        <w:t>«Уральский государственный экономический университет»</w:t>
      </w:r>
    </w:p>
    <w:p>
      <w:pPr>
        <w:spacing w:line="360" w:lineRule="auto"/>
        <w:ind w:firstLine="0"/>
        <w:jc w:val="center"/>
      </w:pPr>
      <w:r>
        <w:rPr>
          <w:rFonts w:ascii="Times New Roman" w:hAnsi="Times New Roman" w:eastAsia="Times New Roman"/>
          <w:b w:val="0"/>
          <w:sz w:val="24"/>
        </w:rPr>
        <w:t>(УрГЭУ)</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val="0"/>
          <w:sz w:val="24"/>
        </w:rPr>
        <w:t>Кафедра экономики предприятий</w:t>
      </w:r>
    </w:p>
    <w:p>
      <w:pPr>
        <w:spacing w:line="360" w:lineRule="auto"/>
        <w:ind w:firstLine="0"/>
        <w:jc w:val="left"/>
      </w:pPr>
      <w:r>
        <w:rPr>
          <w:rFonts w:ascii="Times New Roman" w:hAnsi="Times New Roman" w:eastAsia="Times New Roman"/>
          <w:b w:val="0"/>
          <w:sz w:val="28"/>
        </w:rPr>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sz w:val="32"/>
        </w:rPr>
        <w:t>КУРСОВАЯ РАБОТА</w:t>
      </w:r>
    </w:p>
    <w:p>
      <w:pPr>
        <w:spacing w:line="360" w:lineRule="auto"/>
        <w:ind w:firstLine="0"/>
        <w:jc w:val="center"/>
      </w:pPr>
      <w:r>
        <w:rPr>
          <w:rFonts w:ascii="Times New Roman" w:hAnsi="Times New Roman" w:eastAsia="Times New Roman"/>
          <w:b w:val="0"/>
          <w:sz w:val="28"/>
        </w:rPr>
        <w:t>по дисциплине «Управление взаимоотношениями с потребителями»</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val="0"/>
          <w:sz w:val="28"/>
        </w:rPr>
        <w:t>на тему:</w:t>
      </w:r>
    </w:p>
    <w:p>
      <w:pPr>
        <w:spacing w:line="360" w:lineRule="auto"/>
        <w:ind w:firstLine="0"/>
        <w:jc w:val="center"/>
      </w:pPr>
      <w:r>
        <w:rPr>
          <w:rFonts w:ascii="Times New Roman" w:hAnsi="Times New Roman" w:eastAsia="Times New Roman"/>
          <w:b/>
          <w:sz w:val="28"/>
        </w:rPr>
        <w:t>«Управление трудовой мотивацией персонала клиентоориентированной организации»</w:t>
      </w:r>
    </w:p>
    <w:p>
      <w:pPr>
        <w:spacing w:line="360" w:lineRule="auto"/>
        <w:ind w:firstLine="0"/>
        <w:jc w:val="left"/>
      </w:pPr>
      <w:r>
        <w:rPr>
          <w:rFonts w:ascii="Times New Roman" w:hAnsi="Times New Roman" w:eastAsia="Times New Roman"/>
          <w:b w:val="0"/>
          <w:sz w:val="28"/>
        </w:rPr>
      </w:r>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4"/>
        </w:rPr>
        <w:t>Направление подготовки: 38.03.01 «Экономика»</w:t>
      </w:r>
    </w:p>
    <w:p>
      <w:pPr>
        <w:spacing w:line="360" w:lineRule="auto"/>
        <w:ind w:firstLine="709"/>
        <w:jc w:val="both"/>
      </w:pPr>
      <w:r>
        <w:rPr>
          <w:rFonts w:ascii="Times New Roman" w:hAnsi="Times New Roman" w:eastAsia="Times New Roman"/>
          <w:b w:val="0"/>
          <w:sz w:val="24"/>
        </w:rPr>
        <w:t>Профиль: «Экономика предприятий и организаций»</w:t>
      </w:r>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4"/>
        </w:rPr>
        <w:t>Студент: Эли раби сиди Мохамед</w:t>
      </w:r>
    </w:p>
    <w:p>
      <w:pPr>
        <w:spacing w:line="360" w:lineRule="auto"/>
        <w:ind w:firstLine="709"/>
        <w:jc w:val="both"/>
      </w:pPr>
      <w:r>
        <w:rPr>
          <w:rFonts w:ascii="Times New Roman" w:hAnsi="Times New Roman" w:eastAsia="Times New Roman"/>
          <w:b w:val="0"/>
          <w:sz w:val="24"/>
        </w:rPr>
        <w:t>Группа: ________________</w:t>
      </w:r>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4"/>
        </w:rPr>
        <w:t>Руководитель: ______________________________</w:t>
      </w:r>
    </w:p>
    <w:p>
      <w:pPr>
        <w:spacing w:line="360" w:lineRule="auto"/>
        <w:ind w:firstLine="709"/>
        <w:jc w:val="both"/>
      </w:pPr>
      <w:r>
        <w:rPr>
          <w:rFonts w:ascii="Times New Roman" w:hAnsi="Times New Roman" w:eastAsia="Times New Roman"/>
          <w:b w:val="0"/>
          <w:sz w:val="24"/>
        </w:rPr>
        <w:t>______________________________</w:t>
      </w:r>
    </w:p>
    <w:p>
      <w:pPr>
        <w:spacing w:line="360" w:lineRule="auto"/>
        <w:ind w:firstLine="0"/>
        <w:jc w:val="left"/>
      </w:pPr>
      <w:r>
        <w:rPr>
          <w:rFonts w:ascii="Times New Roman" w:hAnsi="Times New Roman" w:eastAsia="Times New Roman"/>
          <w:b w:val="0"/>
          <w:sz w:val="28"/>
        </w:rPr>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val="0"/>
          <w:sz w:val="28"/>
        </w:rPr>
        <w:t>Екатеринбург</w:t>
      </w:r>
    </w:p>
    <w:p>
      <w:pPr>
        <w:spacing w:line="360" w:lineRule="auto"/>
        <w:ind w:firstLine="0"/>
        <w:jc w:val="center"/>
      </w:pPr>
      <w:r>
        <w:rPr>
          <w:rFonts w:ascii="Times New Roman" w:hAnsi="Times New Roman" w:eastAsia="Times New Roman"/>
          <w:b w:val="0"/>
          <w:sz w:val="28"/>
        </w:rPr>
        <w:t>2026 г.</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sz w:val="32"/>
        </w:rPr>
        <w:t>СОДЕРЖАНИЕ</w:t>
      </w:r>
    </w:p>
    <w:p>
      <w:pPr>
        <w:spacing w:line="360" w:lineRule="auto"/>
        <w:ind w:firstLine="709"/>
        <w:jc w:val="both"/>
      </w:pPr>
      <w:r>
        <w:rPr>
          <w:rFonts w:ascii="Times New Roman" w:hAnsi="Times New Roman" w:eastAsia="Times New Roman"/>
          <w:b w:val="0"/>
          <w:sz w:val="24"/>
        </w:rPr>
        <w:t>Введение ........................................................................ 3</w:t>
      </w:r>
    </w:p>
    <w:p>
      <w:pPr>
        <w:spacing w:line="360" w:lineRule="auto"/>
        <w:ind w:firstLine="709"/>
        <w:jc w:val="both"/>
      </w:pPr>
      <w:r>
        <w:rPr>
          <w:rFonts w:ascii="Times New Roman" w:hAnsi="Times New Roman" w:eastAsia="Times New Roman"/>
          <w:b w:val="0"/>
          <w:sz w:val="24"/>
        </w:rPr>
        <w:t>1 Теоретические аспекты управления трудовой мотивацией персонала клиентоориентированной организации ........ 5</w:t>
      </w:r>
    </w:p>
    <w:p>
      <w:pPr>
        <w:spacing w:line="360" w:lineRule="auto"/>
        <w:ind w:firstLine="709"/>
        <w:jc w:val="both"/>
      </w:pPr>
      <w:r>
        <w:rPr>
          <w:rFonts w:ascii="Times New Roman" w:hAnsi="Times New Roman" w:eastAsia="Times New Roman"/>
          <w:b w:val="0"/>
          <w:sz w:val="24"/>
        </w:rPr>
        <w:t>1.1 Клиентоориентированная организация и роль персонала в создании ценности для клиента ........................ 5</w:t>
      </w:r>
    </w:p>
    <w:p>
      <w:pPr>
        <w:spacing w:line="360" w:lineRule="auto"/>
        <w:ind w:firstLine="709"/>
        <w:jc w:val="both"/>
      </w:pPr>
      <w:r>
        <w:rPr>
          <w:rFonts w:ascii="Times New Roman" w:hAnsi="Times New Roman" w:eastAsia="Times New Roman"/>
          <w:b w:val="0"/>
          <w:sz w:val="24"/>
        </w:rPr>
        <w:t>1.2 Сущность, содержание и виды трудовой мотивации персонала ............................................................... 8</w:t>
      </w:r>
    </w:p>
    <w:p>
      <w:pPr>
        <w:spacing w:line="360" w:lineRule="auto"/>
        <w:ind w:firstLine="709"/>
        <w:jc w:val="both"/>
      </w:pPr>
      <w:r>
        <w:rPr>
          <w:rFonts w:ascii="Times New Roman" w:hAnsi="Times New Roman" w:eastAsia="Times New Roman"/>
          <w:b w:val="0"/>
          <w:sz w:val="24"/>
        </w:rPr>
        <w:t>1.3 Этапы (процесс) управления трудовой мотивацией в организации ............................................................ 12</w:t>
      </w:r>
    </w:p>
    <w:p>
      <w:pPr>
        <w:spacing w:line="360" w:lineRule="auto"/>
        <w:ind w:firstLine="709"/>
        <w:jc w:val="both"/>
      </w:pPr>
      <w:r>
        <w:rPr>
          <w:rFonts w:ascii="Times New Roman" w:hAnsi="Times New Roman" w:eastAsia="Times New Roman"/>
          <w:b w:val="0"/>
          <w:sz w:val="24"/>
        </w:rPr>
        <w:t>1.4 Методические основы анализа системы трудовой мотивации ............................................................... 15</w:t>
      </w:r>
    </w:p>
    <w:p>
      <w:pPr>
        <w:spacing w:line="360" w:lineRule="auto"/>
        <w:ind w:firstLine="709"/>
        <w:jc w:val="both"/>
      </w:pPr>
      <w:r>
        <w:rPr>
          <w:rFonts w:ascii="Times New Roman" w:hAnsi="Times New Roman" w:eastAsia="Times New Roman"/>
          <w:b w:val="0"/>
          <w:sz w:val="28"/>
        </w:rPr>
        <w:t>Эти положения образуют переход к главе 2, где типовая система мотивации оценивается на соответствие сформулированным критериям.</w:t>
      </w:r>
    </w:p>
    <w:p>
      <w:pPr>
        <w:spacing w:line="360" w:lineRule="auto"/>
        <w:ind w:firstLine="709"/>
        <w:jc w:val="both"/>
      </w:pPr>
      <w:r>
        <w:rPr>
          <w:rFonts w:ascii="Times New Roman" w:hAnsi="Times New Roman" w:eastAsia="Times New Roman"/>
          <w:b w:val="0"/>
          <w:sz w:val="28"/>
        </w:rPr>
        <w:t>Дополнительно следует подчеркнуть связь темы с дисциплиной управления взаимоотношениями с потребителями. Управление отношениями с клиентом невозможно «снаружи» персонала: скрипты, CRM и стандарты работают только тогда, когда сотрудник считает выгодным и осмысленным следовать им. Поэтому трудовая мотивация является внутренним механизмом CRM-системы организации, даже если формально находится в зоне ответственности HR.</w:t>
      </w:r>
    </w:p>
    <w:p>
      <w:pPr>
        <w:spacing w:line="360" w:lineRule="auto"/>
        <w:ind w:firstLine="709"/>
        <w:jc w:val="both"/>
      </w:pPr>
      <w:r>
        <w:rPr>
          <w:rFonts w:ascii="Times New Roman" w:hAnsi="Times New Roman" w:eastAsia="Times New Roman"/>
          <w:b w:val="0"/>
          <w:sz w:val="28"/>
        </w:rPr>
        <w:t>В терминах исследовательской гипотезы можно сформулировать следующее утверждение: чем последовательнее система трудовой мотивации подкрепляет клиентоориентированные действия (а не только объёмные результаты), тем выше вероятность устойчивого сервисного поведения персонала при прочих равных условиях. Проверка гипотезы на конкретном объекте выполняется сопоставлением структуры стимулов, результатов опроса и динамики сервисных показателей.</w:t>
      </w:r>
    </w:p>
    <w:p>
      <w:pPr>
        <w:spacing w:line="360" w:lineRule="auto"/>
        <w:ind w:firstLine="709"/>
        <w:jc w:val="both"/>
      </w:pPr>
      <w:r>
        <w:rPr>
          <w:rFonts w:ascii="Times New Roman" w:hAnsi="Times New Roman" w:eastAsia="Times New Roman"/>
          <w:b w:val="0"/>
          <w:sz w:val="28"/>
        </w:rPr>
        <w:t>Четвёртое. Методика анализа обязана сочетать вторичные данные, первичный опрос и внешний рыночный контур; иначе рекомендации остаются абстрактными.</w:t>
      </w:r>
    </w:p>
    <w:p>
      <w:pPr>
        <w:spacing w:line="360" w:lineRule="auto"/>
        <w:ind w:firstLine="709"/>
        <w:jc w:val="both"/>
      </w:pPr>
      <w:r>
        <w:rPr>
          <w:rFonts w:ascii="Times New Roman" w:hAnsi="Times New Roman" w:eastAsia="Times New Roman"/>
          <w:b w:val="0"/>
          <w:sz w:val="28"/>
        </w:rPr>
        <w:t>Третье. Для клиентоориентированной организации показатели сервиса и качества отношений являются столь же легитимными объектами премирования, как объёмные показатели продаж [10].</w:t>
      </w:r>
    </w:p>
    <w:p>
      <w:pPr>
        <w:spacing w:line="360" w:lineRule="auto"/>
        <w:ind w:firstLine="709"/>
        <w:jc w:val="both"/>
      </w:pPr>
      <w:r>
        <w:rPr>
          <w:rFonts w:ascii="Times New Roman" w:hAnsi="Times New Roman" w:eastAsia="Times New Roman"/>
          <w:b w:val="0"/>
          <w:sz w:val="28"/>
        </w:rPr>
        <w:t>Второе. Управление трудовой мотивацией должно проектироваться как цикл с измеримыми индикаторами, а не как набор разрозненных выплат [1].</w:t>
      </w:r>
    </w:p>
    <w:p>
      <w:pPr>
        <w:spacing w:line="360" w:lineRule="auto"/>
        <w:ind w:firstLine="709"/>
        <w:jc w:val="both"/>
      </w:pPr>
      <w:r>
        <w:rPr>
          <w:rFonts w:ascii="Times New Roman" w:hAnsi="Times New Roman" w:eastAsia="Times New Roman"/>
          <w:b w:val="0"/>
          <w:sz w:val="28"/>
        </w:rPr>
        <w:t>Первое. Клиентоориентированность персонала невозможна как устойчивая характеристика без мотивационной поддержки; знания и навыки необходимы, но недостаточны [8; 9].</w:t>
      </w:r>
    </w:p>
    <w:p>
      <w:pPr>
        <w:spacing w:line="360" w:lineRule="auto"/>
        <w:ind w:firstLine="709"/>
        <w:jc w:val="both"/>
      </w:pPr>
      <w:r>
        <w:rPr>
          <w:rFonts w:ascii="Times New Roman" w:hAnsi="Times New Roman" w:eastAsia="Times New Roman"/>
          <w:b w:val="0"/>
          <w:sz w:val="28"/>
        </w:rPr>
        <w:t>Теоретический анализ позволяет зафиксировать несколько положений, которые используются далее как критерии оценки практики.</w:t>
      </w:r>
    </w:p>
    <w:p>
      <w:pPr>
        <w:spacing w:line="360" w:lineRule="auto"/>
        <w:ind w:firstLine="0"/>
        <w:jc w:val="center"/>
      </w:pPr>
      <w:r>
        <w:rPr>
          <w:rFonts w:ascii="Times New Roman" w:hAnsi="Times New Roman" w:eastAsia="Times New Roman"/>
          <w:b/>
          <w:sz w:val="28"/>
        </w:rPr>
        <w:t>1.5 ПРОМЕЖУТОЧНЫЕ ВЫВОДЫ ПО ГЛАВЕ 1</w:t>
      </w:r>
    </w:p>
    <w:p>
      <w:pPr>
        <w:spacing w:line="360" w:lineRule="auto"/>
        <w:ind w:firstLine="709"/>
        <w:jc w:val="both"/>
      </w:pPr>
      <w:r>
        <w:rPr>
          <w:rFonts w:ascii="Times New Roman" w:hAnsi="Times New Roman" w:eastAsia="Times New Roman"/>
          <w:b w:val="0"/>
          <w:sz w:val="24"/>
        </w:rPr>
        <w:t>2 Анализ системы трудовой мотивации персонала клиентоориентированной организации ................................. 18</w:t>
      </w:r>
    </w:p>
    <w:p>
      <w:pPr>
        <w:spacing w:line="360" w:lineRule="auto"/>
        <w:ind w:firstLine="709"/>
        <w:jc w:val="both"/>
      </w:pPr>
      <w:r>
        <w:rPr>
          <w:rFonts w:ascii="Times New Roman" w:hAnsi="Times New Roman" w:eastAsia="Times New Roman"/>
          <w:b w:val="0"/>
          <w:sz w:val="24"/>
        </w:rPr>
        <w:t>2.1 Организационно-экономическая характеристика объекта исследования ..................................................... 18</w:t>
      </w:r>
    </w:p>
    <w:p>
      <w:pPr>
        <w:spacing w:line="360" w:lineRule="auto"/>
        <w:ind w:firstLine="709"/>
        <w:jc w:val="both"/>
      </w:pPr>
      <w:r>
        <w:rPr>
          <w:rFonts w:ascii="Times New Roman" w:hAnsi="Times New Roman" w:eastAsia="Times New Roman"/>
          <w:b w:val="0"/>
          <w:sz w:val="24"/>
        </w:rPr>
        <w:t>2.2 Анализ потребителей, конкурентов и требований к персоналу на рынке ................................................... 21</w:t>
      </w:r>
    </w:p>
    <w:p>
      <w:pPr>
        <w:spacing w:line="360" w:lineRule="auto"/>
        <w:ind w:firstLine="709"/>
        <w:jc w:val="both"/>
      </w:pPr>
      <w:r>
        <w:rPr>
          <w:rFonts w:ascii="Times New Roman" w:hAnsi="Times New Roman" w:eastAsia="Times New Roman"/>
          <w:b w:val="0"/>
          <w:sz w:val="24"/>
        </w:rPr>
        <w:t>2.3 Анализ системы трудовой мотивации в логике клиентоориентированности ................................................. 24</w:t>
      </w:r>
    </w:p>
    <w:p>
      <w:pPr>
        <w:spacing w:line="360" w:lineRule="auto"/>
        <w:ind w:firstLine="709"/>
        <w:jc w:val="both"/>
      </w:pPr>
      <w:r>
        <w:rPr>
          <w:rFonts w:ascii="Times New Roman" w:hAnsi="Times New Roman" w:eastAsia="Times New Roman"/>
          <w:b w:val="0"/>
          <w:sz w:val="24"/>
        </w:rPr>
        <w:t>2.4 Анализ факторов макросреды и SWOT-анализ ..................................................................................... 28</w:t>
      </w:r>
    </w:p>
    <w:p>
      <w:pPr>
        <w:spacing w:line="360" w:lineRule="auto"/>
        <w:ind w:firstLine="709"/>
        <w:jc w:val="both"/>
      </w:pPr>
      <w:r>
        <w:rPr>
          <w:rFonts w:ascii="Times New Roman" w:hAnsi="Times New Roman" w:eastAsia="Times New Roman"/>
          <w:b w:val="0"/>
          <w:sz w:val="24"/>
        </w:rPr>
        <w:t>3 Совершенствование управления трудовой мотивацией персонала ............................................................... 31</w:t>
      </w:r>
    </w:p>
    <w:p>
      <w:pPr>
        <w:spacing w:line="360" w:lineRule="auto"/>
        <w:ind w:firstLine="709"/>
        <w:jc w:val="both"/>
      </w:pPr>
      <w:r>
        <w:rPr>
          <w:rFonts w:ascii="Times New Roman" w:hAnsi="Times New Roman" w:eastAsia="Times New Roman"/>
          <w:b w:val="0"/>
          <w:sz w:val="24"/>
        </w:rPr>
        <w:t>3.1 Направления и мероприятия по совершенствованию системы мотивации .................................................. 31</w:t>
      </w:r>
    </w:p>
    <w:p>
      <w:pPr>
        <w:spacing w:line="360" w:lineRule="auto"/>
        <w:ind w:firstLine="709"/>
        <w:jc w:val="both"/>
      </w:pPr>
      <w:r>
        <w:rPr>
          <w:rFonts w:ascii="Times New Roman" w:hAnsi="Times New Roman" w:eastAsia="Times New Roman"/>
          <w:b w:val="0"/>
          <w:sz w:val="24"/>
        </w:rPr>
        <w:t>3.2 Организационно-экономическое обоснование предложений ................................................................... 34</w:t>
      </w:r>
    </w:p>
    <w:p>
      <w:pPr>
        <w:spacing w:line="360" w:lineRule="auto"/>
        <w:ind w:firstLine="709"/>
        <w:jc w:val="both"/>
      </w:pPr>
      <w:r>
        <w:rPr>
          <w:rFonts w:ascii="Times New Roman" w:hAnsi="Times New Roman" w:eastAsia="Times New Roman"/>
          <w:b w:val="0"/>
          <w:sz w:val="24"/>
        </w:rPr>
        <w:t>3.3 Условия внедрения и оценка ожидаемой результативности ..................................................................... 36</w:t>
      </w:r>
    </w:p>
    <w:p>
      <w:pPr>
        <w:spacing w:line="360" w:lineRule="auto"/>
        <w:ind w:firstLine="709"/>
        <w:jc w:val="both"/>
      </w:pPr>
      <w:r>
        <w:rPr>
          <w:rFonts w:ascii="Times New Roman" w:hAnsi="Times New Roman" w:eastAsia="Times New Roman"/>
          <w:b w:val="0"/>
          <w:sz w:val="24"/>
        </w:rPr>
        <w:t>Заключение ............................................................................................................................. 38</w:t>
      </w:r>
    </w:p>
    <w:p>
      <w:pPr>
        <w:spacing w:line="360" w:lineRule="auto"/>
        <w:ind w:firstLine="709"/>
        <w:jc w:val="both"/>
      </w:pPr>
      <w:r>
        <w:rPr>
          <w:rFonts w:ascii="Times New Roman" w:hAnsi="Times New Roman" w:eastAsia="Times New Roman"/>
          <w:b w:val="0"/>
          <w:sz w:val="28"/>
        </w:rPr>
        <w:t>Таким образом, курсовая сочетает требования методических рекомендаций дисциплины (три главы, аналитика, таблица мероприятий, собственные исследовательские инструменты) с требованием достоверности источников и данных.</w:t>
      </w:r>
    </w:p>
    <w:p>
      <w:pPr>
        <w:spacing w:line="360" w:lineRule="auto"/>
        <w:ind w:firstLine="709"/>
        <w:jc w:val="both"/>
      </w:pPr>
      <w:r>
        <w:rPr>
          <w:rFonts w:ascii="Times New Roman" w:hAnsi="Times New Roman" w:eastAsia="Times New Roman"/>
          <w:b w:val="0"/>
          <w:sz w:val="28"/>
        </w:rPr>
        <w:t>Если научный руководитель потребует привязку к конкретному юридическому лицу, алгоритм доработки ограничен и прозрачен: заполнить таблицу 4 по отчётности; провести опрос; заполнить таблицу 6; уточнить SWOT; рассчитать виды затрат таблицы 8 в рублях по фактической численности. Структура работы при этом не ломается.</w:t>
      </w:r>
    </w:p>
    <w:p>
      <w:pPr>
        <w:spacing w:line="360" w:lineRule="auto"/>
        <w:ind w:firstLine="709"/>
        <w:jc w:val="both"/>
      </w:pPr>
      <w:r>
        <w:rPr>
          <w:rFonts w:ascii="Times New Roman" w:hAnsi="Times New Roman" w:eastAsia="Times New Roman"/>
          <w:b w:val="0"/>
          <w:sz w:val="28"/>
        </w:rPr>
        <w:t>Отдельным результатом работы является набор приложений, которые можно использовать в практической деятельности организации без переписывания основного текста: анкета диагностики мотивов и матрица увязки стимулов с показателями клиентоориентированности.</w:t>
      </w:r>
    </w:p>
    <w:p>
      <w:pPr>
        <w:spacing w:line="360" w:lineRule="auto"/>
        <w:ind w:firstLine="709"/>
        <w:jc w:val="both"/>
      </w:pPr>
      <w:r>
        <w:rPr>
          <w:rFonts w:ascii="Times New Roman" w:hAnsi="Times New Roman" w:eastAsia="Times New Roman"/>
          <w:b w:val="0"/>
          <w:sz w:val="24"/>
        </w:rPr>
        <w:t>Список использованных источников ............................................................................................. 40</w:t>
      </w:r>
    </w:p>
    <w:p>
      <w:pPr>
        <w:spacing w:line="360" w:lineRule="auto"/>
        <w:ind w:firstLine="709"/>
        <w:jc w:val="both"/>
      </w:pPr>
      <w:r>
        <w:rPr>
          <w:rFonts w:ascii="Times New Roman" w:hAnsi="Times New Roman" w:eastAsia="Times New Roman"/>
          <w:b w:val="0"/>
          <w:sz w:val="24"/>
        </w:rPr>
        <w:t>Приложение А. Анкета для опроса персонала ................................................................................... 42</w:t>
      </w:r>
    </w:p>
    <w:p>
      <w:pPr>
        <w:spacing w:line="360" w:lineRule="auto"/>
        <w:ind w:firstLine="709"/>
        <w:jc w:val="both"/>
      </w:pPr>
      <w:r>
        <w:rPr>
          <w:rFonts w:ascii="Times New Roman" w:hAnsi="Times New Roman" w:eastAsia="Times New Roman"/>
          <w:b w:val="0"/>
          <w:sz w:val="24"/>
        </w:rPr>
        <w:t>Приложение Б. Матрица увязки стимулов с показателями клиентоориентированности ...................................... 44</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sz w:val="32"/>
        </w:rPr>
        <w:t>ВВЕДЕНИЕ</w:t>
      </w:r>
    </w:p>
    <w:p>
      <w:pPr>
        <w:spacing w:line="360" w:lineRule="auto"/>
        <w:ind w:firstLine="709"/>
        <w:jc w:val="both"/>
      </w:pPr>
      <w:r>
        <w:rPr>
          <w:rFonts w:ascii="Times New Roman" w:hAnsi="Times New Roman" w:eastAsia="Times New Roman"/>
          <w:b w:val="0"/>
          <w:sz w:val="28"/>
        </w:rPr>
        <w:t>В условиях усиления конкуренции за потребителя устойчивость организации всё чаще определяется не только ценой и ассортиментом, но и качеством взаимодействия с клиентом. Клиентоориентированная модель бизнеса предполагает, что ценность создаётся в точке контакта сотрудника и потребителя. Следовательно, система трудовой мотивации перестаёт быть узко кадровым инструментом и становится элементом управления взаимоотношениями с потребителями.</w:t>
      </w:r>
    </w:p>
    <w:p>
      <w:pPr>
        <w:spacing w:line="360" w:lineRule="auto"/>
        <w:ind w:firstLine="709"/>
        <w:jc w:val="both"/>
      </w:pPr>
      <w:r>
        <w:rPr>
          <w:rFonts w:ascii="Times New Roman" w:hAnsi="Times New Roman" w:eastAsia="Times New Roman"/>
          <w:b w:val="0"/>
          <w:sz w:val="28"/>
        </w:rPr>
        <w:t>Проблема исследования не совпадает с формулировкой темы. Тема задаёт предмет — управление трудовой мотивацией персонала клиентоориентированной организации. Проблема отражает разрыв между желаемым и действительным состоянием этого предмета: организация декларирует ориентацию на клиента, однако стимулы персонала нередко ориентированы на объём продаж, скорость операций или формальное исполнение регламентов, а не на качество отношений, повторные обращения и удовлетворённость клиента. Проблема бизнеса состоит в риске потери лояльности потребителей и снижения конкурентоспособности из-за недостаточной клиентоориентированности трудового поведения. Исследовательская проблема состоит в необходимости выявить, насколько действующая система мотивации поддерживает клиентоориентированное поведение, и предложить согласованный комплекс управленческих решений.</w:t>
      </w:r>
    </w:p>
    <w:p>
      <w:pPr>
        <w:spacing w:line="360" w:lineRule="auto"/>
        <w:ind w:firstLine="709"/>
        <w:jc w:val="both"/>
      </w:pPr>
      <w:r>
        <w:rPr>
          <w:rFonts w:ascii="Times New Roman" w:hAnsi="Times New Roman" w:eastAsia="Times New Roman"/>
          <w:b w:val="0"/>
          <w:sz w:val="28"/>
        </w:rPr>
        <w:t>Актуальность темы подтверждается тем, что в литературе клиентоориентированность персонала прямо связывается с мотивацией, ценностями и установками работников [7; 8], а низкий уровень мотивирования рассматривается как один из барьеров внедрения клиентоориентированного подхода [9]. Одновременно сохраняется практическая неопределённость: какие именно стимулы и показатели следует встраивать в систему оплаты и нематериального поощрения, чтобы усилить ориентацию на клиента без потери управляемости затрат.</w:t>
      </w:r>
    </w:p>
    <w:p>
      <w:pPr>
        <w:spacing w:line="360" w:lineRule="auto"/>
        <w:ind w:firstLine="709"/>
        <w:jc w:val="both"/>
      </w:pPr>
      <w:r>
        <w:rPr>
          <w:rFonts w:ascii="Times New Roman" w:hAnsi="Times New Roman" w:eastAsia="Times New Roman"/>
          <w:b w:val="0"/>
          <w:sz w:val="28"/>
        </w:rPr>
        <w:t>Цель курсовой работы — обосновать направления совершенствования управления трудовой мотивацией персонала клиентоориентированной организации на основе теоретического анализа и аналитической оценки типовых разрывов между системой стимулов и требованиями клиентоориентированного поведения.</w:t>
      </w:r>
    </w:p>
    <w:p>
      <w:pPr>
        <w:spacing w:line="360" w:lineRule="auto"/>
        <w:ind w:firstLine="709"/>
        <w:jc w:val="both"/>
      </w:pPr>
      <w:r>
        <w:rPr>
          <w:rFonts w:ascii="Times New Roman" w:hAnsi="Times New Roman" w:eastAsia="Times New Roman"/>
          <w:b w:val="0"/>
          <w:sz w:val="28"/>
        </w:rPr>
        <w:t>Для достижения цели поставлены следующие задачи:</w:t>
      </w:r>
    </w:p>
    <w:p>
      <w:pPr>
        <w:spacing w:line="360" w:lineRule="auto"/>
        <w:ind w:firstLine="709"/>
        <w:jc w:val="both"/>
      </w:pPr>
      <w:r>
        <w:rPr>
          <w:rFonts w:ascii="Times New Roman" w:hAnsi="Times New Roman" w:eastAsia="Times New Roman"/>
          <w:b w:val="0"/>
          <w:sz w:val="28"/>
        </w:rPr>
        <w:t>– раскрыть содержание клиентоориентированной организации и роль персонала в создании ценности для клиента;</w:t>
      </w:r>
    </w:p>
    <w:p>
      <w:pPr>
        <w:spacing w:line="360" w:lineRule="auto"/>
        <w:ind w:firstLine="709"/>
        <w:jc w:val="both"/>
      </w:pPr>
      <w:r>
        <w:rPr>
          <w:rFonts w:ascii="Times New Roman" w:hAnsi="Times New Roman" w:eastAsia="Times New Roman"/>
          <w:b w:val="0"/>
          <w:sz w:val="28"/>
        </w:rPr>
        <w:t>– систематизировать понятия, виды и механизмы трудовой мотивации и стимулирования;</w:t>
      </w:r>
    </w:p>
    <w:p>
      <w:pPr>
        <w:spacing w:line="360" w:lineRule="auto"/>
        <w:ind w:firstLine="709"/>
        <w:jc w:val="both"/>
      </w:pPr>
      <w:r>
        <w:rPr>
          <w:rFonts w:ascii="Times New Roman" w:hAnsi="Times New Roman" w:eastAsia="Times New Roman"/>
          <w:b w:val="0"/>
          <w:sz w:val="28"/>
        </w:rPr>
        <w:t>– описать этапы управления трудовой мотивацией и требования к её увязке с клиентоориентированностью;</w:t>
      </w:r>
    </w:p>
    <w:p>
      <w:pPr>
        <w:spacing w:line="360" w:lineRule="auto"/>
        <w:ind w:firstLine="709"/>
        <w:jc w:val="both"/>
      </w:pPr>
      <w:r>
        <w:rPr>
          <w:rFonts w:ascii="Times New Roman" w:hAnsi="Times New Roman" w:eastAsia="Times New Roman"/>
          <w:b w:val="0"/>
          <w:sz w:val="28"/>
        </w:rPr>
        <w:t>– сформировать методический подход к анализу системы мотивации в клиентоориентированной организации;</w:t>
      </w:r>
    </w:p>
    <w:p>
      <w:pPr>
        <w:spacing w:line="360" w:lineRule="auto"/>
        <w:ind w:firstLine="709"/>
        <w:jc w:val="both"/>
      </w:pPr>
      <w:r>
        <w:rPr>
          <w:rFonts w:ascii="Times New Roman" w:hAnsi="Times New Roman" w:eastAsia="Times New Roman"/>
          <w:b w:val="0"/>
          <w:sz w:val="28"/>
        </w:rPr>
        <w:t>– провести аналитическую оценку типовой системы мотивации с учётом потребителей, конкуренции и макросреды;</w:t>
      </w:r>
    </w:p>
    <w:p>
      <w:pPr>
        <w:spacing w:line="360" w:lineRule="auto"/>
        <w:ind w:firstLine="709"/>
        <w:jc w:val="both"/>
      </w:pPr>
      <w:r>
        <w:rPr>
          <w:rFonts w:ascii="Times New Roman" w:hAnsi="Times New Roman" w:eastAsia="Times New Roman"/>
          <w:b w:val="0"/>
          <w:sz w:val="28"/>
        </w:rPr>
        <w:t>– разработать комплекс мероприятий по совершенствованию мотивации и дать их организационно-экономическое обоснование.</w:t>
      </w:r>
    </w:p>
    <w:p>
      <w:pPr>
        <w:spacing w:line="360" w:lineRule="auto"/>
        <w:ind w:firstLine="709"/>
        <w:jc w:val="both"/>
      </w:pPr>
      <w:r>
        <w:rPr>
          <w:rFonts w:ascii="Times New Roman" w:hAnsi="Times New Roman" w:eastAsia="Times New Roman"/>
          <w:b w:val="0"/>
          <w:sz w:val="28"/>
        </w:rPr>
        <w:t>Объект исследования — система управления персоналом клиентоориентированной организации сферы розничных услуг и клиентского сервиса. Предмет исследования — процессы и инструменты трудовой мотивации персонала, обеспечивающие (или не обеспечивающие) клиентоориентированное трудовое поведение.</w:t>
      </w:r>
    </w:p>
    <w:p>
      <w:pPr>
        <w:spacing w:line="360" w:lineRule="auto"/>
        <w:ind w:firstLine="709"/>
        <w:jc w:val="both"/>
      </w:pPr>
      <w:r>
        <w:rPr>
          <w:rFonts w:ascii="Times New Roman" w:hAnsi="Times New Roman" w:eastAsia="Times New Roman"/>
          <w:b w:val="0"/>
          <w:sz w:val="28"/>
        </w:rPr>
        <w:t>Методы исследования: анализ и синтез научной литературы; сравнительный анализ подходов к мотивации и клиентоориентированности; логическое моделирование процесса управления мотивацией; SWOT-анализ; метод экспертной структуризации мероприятий; проектирование инструментария первичного опроса персонала. В работе используются вторичные источники (учебники, научные статьи, нормативные положения) и разработанный автором методический инструмент первичного исследования (анкета — приложение А).</w:t>
      </w:r>
    </w:p>
    <w:p>
      <w:pPr>
        <w:spacing w:line="360" w:lineRule="auto"/>
        <w:ind w:firstLine="709"/>
        <w:jc w:val="both"/>
      </w:pPr>
      <w:r>
        <w:rPr>
          <w:rFonts w:ascii="Times New Roman" w:hAnsi="Times New Roman" w:eastAsia="Times New Roman"/>
          <w:b w:val="0"/>
          <w:sz w:val="28"/>
        </w:rPr>
        <w:t>Граница достоверности задана явно. В отличие от курсовой, построенной на закрытых внутренних отчётах конкретного предприятия с уже проведённым опросом, в настоящей работе не приводятся вымышленные выручка, численность штата, проценты удовлетворённости и «результаты анкетирования», которых автор не собирал на конкретном объекте. Аналитическая глава опирается на: (1) типовую модель клиентоориентированной организации клиентского сервиса; (2) выводы опубликованных исследований о связи мотивации и клиентоориентированности; (3) логику методических рекомендаций дисциплины. Там, где нужны первичные данные конкретной фирмы, в тексте указано, какие показатели следует заполнить по документам организации и по результатам анкеты из приложения А. Такой подход сохраняет академическую честность и одновременно даёт полный рабочий каркас курсовой.</w:t>
      </w:r>
    </w:p>
    <w:p>
      <w:pPr>
        <w:spacing w:line="360" w:lineRule="auto"/>
        <w:ind w:firstLine="709"/>
        <w:jc w:val="both"/>
      </w:pPr>
      <w:r>
        <w:rPr>
          <w:rFonts w:ascii="Times New Roman" w:hAnsi="Times New Roman" w:eastAsia="Times New Roman"/>
          <w:b w:val="0"/>
          <w:sz w:val="28"/>
        </w:rPr>
        <w:t>Практическая значимость работы состоит в том, что предложены: методика анализа системы мотивации в логике клиентоориентированности; анкета опроса персонала; сводная таблица мероприятий с видами затрат, показателями результата и рисками; матрица увязки стимулов с показателями сервиса.</w:t>
      </w:r>
    </w:p>
    <w:p>
      <w:pPr>
        <w:spacing w:line="360" w:lineRule="auto"/>
        <w:ind w:firstLine="709"/>
        <w:jc w:val="both"/>
      </w:pPr>
      <w:r>
        <w:rPr>
          <w:rFonts w:ascii="Times New Roman" w:hAnsi="Times New Roman" w:eastAsia="Times New Roman"/>
          <w:b w:val="0"/>
          <w:sz w:val="28"/>
        </w:rPr>
        <w:t>Структура работы включает введение, три главы, заключение, список использованных источников и приложения. Первая глава носит теоретический характер. Вторая глава — аналитический. Третья глава — рекомендательный и оценочный.</w:t>
      </w:r>
    </w:p>
    <w:p>
      <w:pPr>
        <w:spacing w:line="360" w:lineRule="auto"/>
        <w:ind w:firstLine="709"/>
        <w:jc w:val="both"/>
      </w:pPr>
      <w:r>
        <w:rPr>
          <w:rFonts w:ascii="Times New Roman" w:hAnsi="Times New Roman" w:eastAsia="Times New Roman"/>
          <w:b w:val="0"/>
          <w:sz w:val="28"/>
        </w:rPr>
        <w:t>Научная новизна в полном смысле слова для курсовой работы не заявляется. Вклад автора состоит в синтезе подходов к мотивации и клиентоориентированности применительно к логике дисциплины, в разработке согласованной методики анализа и в проектировании пакета мероприятий с таблицей обоснования по форме методических требований.</w:t>
      </w:r>
    </w:p>
    <w:p>
      <w:pPr>
        <w:spacing w:line="360" w:lineRule="auto"/>
        <w:ind w:firstLine="709"/>
        <w:jc w:val="both"/>
      </w:pPr>
      <w:r>
        <w:rPr>
          <w:rFonts w:ascii="Times New Roman" w:hAnsi="Times New Roman" w:eastAsia="Times New Roman"/>
          <w:b w:val="0"/>
          <w:sz w:val="28"/>
        </w:rPr>
        <w:t>Рабочая гипотеза исследования: основная причина слабой клиентоориентированности трудового поведения в типовой организации клиентского сервиса заключается не в отсутствии «мотивации вообще», а в несогласованности состава стимулов и показателей с требуемым поведением в точках контакта с потребителем.</w:t>
      </w:r>
    </w:p>
    <w:p>
      <w:pPr>
        <w:spacing w:line="360" w:lineRule="auto"/>
        <w:ind w:firstLine="709"/>
        <w:jc w:val="both"/>
      </w:pPr>
      <w:r>
        <w:rPr>
          <w:rFonts w:ascii="Times New Roman" w:hAnsi="Times New Roman" w:eastAsia="Times New Roman"/>
          <w:b w:val="0"/>
          <w:sz w:val="28"/>
        </w:rPr>
        <w:t>Эмпирическая стратегия проверки гипотезы включает три сопоставления. Первое: анализ локальных актов и фактических KPI на предмет доли сервисных индикаторов. Второе: опрос персонала о конфликтах целей и значимости факторов. Третье: динамика клиентских метрик до и после пилота мероприятий. Пока третье сопоставление не проведено, выводы главы 3 носят проектный характер и требуют пилотной верификации.</w:t>
      </w:r>
    </w:p>
    <w:p>
      <w:pPr>
        <w:spacing w:line="360" w:lineRule="auto"/>
        <w:ind w:firstLine="709"/>
        <w:jc w:val="both"/>
      </w:pPr>
      <w:r>
        <w:rPr>
          <w:rFonts w:ascii="Times New Roman" w:hAnsi="Times New Roman" w:eastAsia="Times New Roman"/>
          <w:b w:val="0"/>
          <w:sz w:val="28"/>
        </w:rPr>
        <w:t>Такое разделение уровней выводов соответствует принципу, уже использованному в сильных практических курсовых работах: отделять то, что доказано документами и наблюдением, от того, что только спроектировано к внедрению.</w:t>
      </w:r>
    </w:p>
    <w:p>
      <w:pPr>
        <w:spacing w:line="360" w:lineRule="auto"/>
        <w:ind w:firstLine="709"/>
        <w:jc w:val="both"/>
      </w:pPr>
      <w:r>
        <w:rPr>
          <w:rFonts w:ascii="Times New Roman" w:hAnsi="Times New Roman" w:eastAsia="Times New Roman"/>
          <w:b w:val="0"/>
          <w:sz w:val="28"/>
        </w:rPr>
        <w:t>В целом введение задаёт не только цель и задачи, но и стандарт качества доказательств: каждый числовой факт в аналитической главе должен иметь источник — документ организации, результат опроса или опубликованное исследование. Этот стандарт наследует сильную сторону образца практической курсовой и одновременно выполняет требования методических рекомендаций УрГЭУ.</w:t>
      </w:r>
    </w:p>
    <w:p>
      <w:pPr>
        <w:spacing w:line="360" w:lineRule="auto"/>
        <w:ind w:firstLine="709"/>
        <w:jc w:val="both"/>
      </w:pPr>
      <w:r>
        <w:rPr>
          <w:rFonts w:ascii="Times New Roman" w:hAnsi="Times New Roman" w:eastAsia="Times New Roman"/>
          <w:b w:val="0"/>
          <w:sz w:val="28"/>
        </w:rPr>
        <w:t>Переходя к основной части, важно удерживать фокус предмета: речь идёт об управлении трудовой мотивацией именно в клиентоориентированном контексте, а не о полном курсе управления персоналом. Все таблицы и приложения подчинены этому фокусу.</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sz w:val="32"/>
        </w:rPr>
        <w:t>1 ТЕОРЕТИЧЕСКИЕ АСПЕКТЫ УПРАВЛЕНИЯ ТРУДОВОЙ МОТИВАЦИЕЙ ПЕРСОНАЛА КЛИЕНТООРИЕНТИРОВАННОЙ ОРГАНИЗАЦИИ</w:t>
      </w:r>
    </w:p>
    <w:p>
      <w:pPr>
        <w:spacing w:line="360" w:lineRule="auto"/>
        <w:ind w:firstLine="0"/>
        <w:jc w:val="center"/>
      </w:pPr>
      <w:r>
        <w:rPr>
          <w:rFonts w:ascii="Times New Roman" w:hAnsi="Times New Roman" w:eastAsia="Times New Roman"/>
          <w:b/>
          <w:sz w:val="28"/>
        </w:rPr>
        <w:t>1.1 Клиентоориентированная организация и роль персонала в создании ценности для клиента</w:t>
      </w:r>
    </w:p>
    <w:p>
      <w:pPr>
        <w:spacing w:line="360" w:lineRule="auto"/>
        <w:ind w:firstLine="709"/>
        <w:jc w:val="both"/>
      </w:pPr>
      <w:r>
        <w:rPr>
          <w:rFonts w:ascii="Times New Roman" w:hAnsi="Times New Roman" w:eastAsia="Times New Roman"/>
          <w:b w:val="0"/>
          <w:sz w:val="28"/>
        </w:rPr>
        <w:t>Клиентоориентированность как управленческая установка означает, что организация выстраивает процессы, метрики и поведение сотрудников вокруг выявления и удовлетворения потребностей клиента лучше, чем это делают конкуренты. В концепции маркетинга отношений акцент переносится с разовой сделки на длительное взаимодействие: компании необходимо создавать и поддерживать отношения с потребителем [7].</w:t>
      </w:r>
    </w:p>
    <w:p>
      <w:pPr>
        <w:spacing w:line="360" w:lineRule="auto"/>
        <w:ind w:firstLine="709"/>
        <w:jc w:val="both"/>
      </w:pPr>
      <w:r>
        <w:rPr>
          <w:rFonts w:ascii="Times New Roman" w:hAnsi="Times New Roman" w:eastAsia="Times New Roman"/>
          <w:b w:val="0"/>
          <w:sz w:val="28"/>
        </w:rPr>
        <w:t>М. Н. Шавровская определяет клиентоориентированность персонала как совокупность знаний, умений, навыков, подкреплённых соответствующей мотивацией, ценностями, установками и личными качествами работников, реализуемыми в определённом поведении и способствующими установлению и поддержанию отношений с клиентами [8]. Из этого определения следует важный вывод для темы курсовой: без мотивационной поддержки компетентность сама по себе не гарантирует устойчивого клиентоориентированного поведения.</w:t>
      </w:r>
    </w:p>
    <w:p>
      <w:pPr>
        <w:spacing w:line="360" w:lineRule="auto"/>
        <w:ind w:firstLine="709"/>
        <w:jc w:val="both"/>
      </w:pPr>
      <w:r>
        <w:rPr>
          <w:rFonts w:ascii="Times New Roman" w:hAnsi="Times New Roman" w:eastAsia="Times New Roman"/>
          <w:b w:val="0"/>
          <w:sz w:val="28"/>
        </w:rPr>
        <w:t>Формирование клиентоориентированности персонала представляет собой систему направлений воздействия на знания, умения, навыки, качества, ценности, мотивацию и установки [8]. В центре такой системы обычно находятся развитие персонала, оценка (включая аттестацию), а также стимулирование и мотивация. Оценка выполняет двойную роль: она даёт сигналы для обучения, отбора и адаптации и одновременно является самостоятельной управленческой задачей со своими показателями и методами [8].</w:t>
      </w:r>
    </w:p>
    <w:p>
      <w:pPr>
        <w:spacing w:line="360" w:lineRule="auto"/>
        <w:ind w:firstLine="709"/>
        <w:jc w:val="both"/>
      </w:pPr>
      <w:r>
        <w:rPr>
          <w:rFonts w:ascii="Times New Roman" w:hAnsi="Times New Roman" w:eastAsia="Times New Roman"/>
          <w:b w:val="0"/>
          <w:sz w:val="28"/>
        </w:rPr>
        <w:t>В прикладных исследованиях подчёркивается, что сотрудники, ориентированные на клиента, стремятся обслуживать его оперативно и качественно, изучают потребности и реагируют на изменения, что повышает удовлетворённость и лояльность потребителя [9]. Т. Хеннинг-Турау в модели COSE выделяет технические навыки, социальные навыки, мотивацию и полномочия принятия решений как составляющие клиентоориентированности персонала; мотивация при этом понимается как степень готовности сотрудника удовлетворять потребности клиента [9].</w:t>
      </w:r>
    </w:p>
    <w:p>
      <w:pPr>
        <w:spacing w:line="360" w:lineRule="auto"/>
        <w:ind w:firstLine="709"/>
        <w:jc w:val="both"/>
      </w:pPr>
      <w:r>
        <w:rPr>
          <w:rFonts w:ascii="Times New Roman" w:hAnsi="Times New Roman" w:eastAsia="Times New Roman"/>
          <w:b w:val="0"/>
          <w:sz w:val="28"/>
        </w:rPr>
        <w:t>Модель COSE полезна тем, что не противопоставляет мотивацию навыкам, а ставит её в один ряд с технической и социальной компетентностью, а также с полномочиями. Для управления это означает: обучение без полномочий и стимулов даёт «знающего, но беспомощного» сотрудника; полномочия без навыков повышают риск ошибок; стимулы без навыков и полномочий провоцируют имитацию сервиса.</w:t>
      </w:r>
    </w:p>
    <w:p>
      <w:pPr>
        <w:spacing w:line="360" w:lineRule="auto"/>
        <w:ind w:firstLine="709"/>
        <w:jc w:val="both"/>
      </w:pPr>
      <w:r>
        <w:rPr>
          <w:rFonts w:ascii="Times New Roman" w:hAnsi="Times New Roman" w:eastAsia="Times New Roman"/>
          <w:b w:val="0"/>
          <w:sz w:val="28"/>
        </w:rPr>
        <w:t>В российской исследовательской традиции близкая логика выражена через системы формирования и оценки клиентоориентированности персонала, где мотивация и стимулирование входят в число центральных элементов наряду с развитием и оценкой [8]. Курсовая работа использует эту рамку как мост между теорией управления персоналом и маркетингом отношений.</w:t>
      </w:r>
    </w:p>
    <w:p>
      <w:pPr>
        <w:spacing w:line="360" w:lineRule="auto"/>
        <w:ind w:firstLine="709"/>
        <w:jc w:val="both"/>
      </w:pPr>
      <w:r>
        <w:rPr>
          <w:rFonts w:ascii="Times New Roman" w:hAnsi="Times New Roman" w:eastAsia="Times New Roman"/>
          <w:b w:val="0"/>
          <w:sz w:val="28"/>
        </w:rPr>
        <w:t>Для банковской и иных сервисных сфер показано, что субъектом клиентоориентированности является работник с собственными интересами и мотивами, поэтому стимулирование клиентоориентированного поведения — самостоятельная управленческая задача, а не «побочный эффект» общей культуры сервиса [10]. Следовательно, клиентоориентированная организация должна проектировать систему трудовой мотивации так, чтобы желаемое поведение в точках контакта с клиентом было выгодным и значимым для сотрудника.</w:t>
      </w:r>
    </w:p>
    <w:p>
      <w:pPr>
        <w:spacing w:line="360" w:lineRule="auto"/>
        <w:ind w:firstLine="709"/>
        <w:jc w:val="both"/>
      </w:pPr>
      <w:r>
        <w:rPr>
          <w:rFonts w:ascii="Times New Roman" w:hAnsi="Times New Roman" w:eastAsia="Times New Roman"/>
          <w:b w:val="0"/>
          <w:sz w:val="28"/>
        </w:rPr>
        <w:t>Роль персонала в создании ценности для клиента проявляется в нескольких контурах. Первый — операционный: скорость, точность, вежливость, решение проблемы с первого обращения. Второй — информационный: сотрудник собирает сигналы о потребностях и передаёт их в маркетинг и производство. Третий — отношенческий: доверие, персонализация, готовность клиента рекомендовать организацию. Если мотивация усиливает только первый контур в узком смысле «закрыть заявку», второй и третий контуры могут деградировать.</w:t>
      </w:r>
    </w:p>
    <w:p>
      <w:pPr>
        <w:spacing w:line="360" w:lineRule="auto"/>
        <w:ind w:firstLine="709"/>
        <w:jc w:val="both"/>
      </w:pPr>
      <w:r>
        <w:rPr>
          <w:rFonts w:ascii="Times New Roman" w:hAnsi="Times New Roman" w:eastAsia="Times New Roman"/>
          <w:b w:val="0"/>
          <w:sz w:val="28"/>
        </w:rPr>
        <w:t>С практической точки зрения клиентоориентированная организация отличается от организации, которая лишь декларирует «заботу о клиенте» в рекламных материалах. Отличие проявляется в управленческих решениях: какие показатели попадают на панель руководителя, какие отклонения считаются допустимыми, кого повышают и за что выплачивают переменную часть дохода. Если в этих решениях нет следа клиентского результата, персонал быстро считывает реальные приоритеты и подстраивает поведение под них.</w:t>
      </w:r>
    </w:p>
    <w:p>
      <w:pPr>
        <w:spacing w:line="360" w:lineRule="auto"/>
        <w:ind w:firstLine="709"/>
        <w:jc w:val="both"/>
      </w:pPr>
      <w:r>
        <w:rPr>
          <w:rFonts w:ascii="Times New Roman" w:hAnsi="Times New Roman" w:eastAsia="Times New Roman"/>
          <w:b w:val="0"/>
          <w:sz w:val="28"/>
        </w:rPr>
        <w:t>Важен и внутренний клиент. Сотрудники бэк-офиса, логистики, IT-поддержки и финансового блока влияют на опыт внешнего потребителя косвенно, но существенно. Поэтому управление мотивацией в клиентоориентированной модели не сводится только к продавцам и операторам. Тем не менее именно персонал первой линии остаётся критической точкой, где стратегия либо подтверждается, либо опровергается в глазах клиента.</w:t>
      </w:r>
    </w:p>
    <w:p>
      <w:pPr>
        <w:spacing w:line="360" w:lineRule="auto"/>
        <w:ind w:firstLine="709"/>
        <w:jc w:val="both"/>
      </w:pPr>
      <w:r>
        <w:rPr>
          <w:rFonts w:ascii="Times New Roman" w:hAnsi="Times New Roman" w:eastAsia="Times New Roman"/>
          <w:b w:val="0"/>
          <w:sz w:val="28"/>
        </w:rPr>
        <w:t>Отдельно следует отметить этический аспект. Клиентоориентированность не тождественна беспринципному согласию с любым требованием потребителя. Мотивация должна поддерживать поведение в рамках стандартов качества, закона и интересов долгосрочных отношений, а не поощрять манипулятивные обещания ради краткосрочной продажи. В этом смысле корректно спроектированные стимулы защищают и клиента, и репутацию организации, и самого сотрудника.</w:t>
      </w:r>
    </w:p>
    <w:p>
      <w:pPr>
        <w:spacing w:line="360" w:lineRule="auto"/>
        <w:ind w:firstLine="0"/>
        <w:jc w:val="center"/>
      </w:pPr>
      <w:r>
        <w:rPr>
          <w:rFonts w:ascii="Times New Roman" w:hAnsi="Times New Roman" w:eastAsia="Times New Roman"/>
          <w:b/>
          <w:sz w:val="28"/>
        </w:rPr>
        <w:t>1.2 Сущность, содержание и виды трудовой мотивации персонала</w:t>
      </w:r>
    </w:p>
    <w:p>
      <w:pPr>
        <w:spacing w:line="360" w:lineRule="auto"/>
        <w:ind w:firstLine="709"/>
        <w:jc w:val="both"/>
      </w:pPr>
      <w:r>
        <w:rPr>
          <w:rFonts w:ascii="Times New Roman" w:hAnsi="Times New Roman" w:eastAsia="Times New Roman"/>
          <w:b w:val="0"/>
          <w:sz w:val="28"/>
        </w:rPr>
        <w:t>В научной литературе нет единого определения мотивации. Б. М. Генкин трактует мотивацию как воздействие на поведение человека для достижения личных, групповых и общественных целей [4]. А. Я. Кибанов рассматривает мотивацию труда как внутренний процесс, происходящий под воздействием потребностей в благах и выражающийся в формировании мотива поведения личности с целью активизации трудовой деятельности [1]. О. С. Виханский определяет мотивацию как совокупность внутренних и внешних движущих сил, которые побуждают индивида к деятельности, задают её границы и формы и придают направленность на достижение определённых целей [3].</w:t>
      </w:r>
    </w:p>
    <w:p>
      <w:pPr>
        <w:spacing w:line="360" w:lineRule="auto"/>
        <w:ind w:firstLine="709"/>
        <w:jc w:val="both"/>
      </w:pPr>
      <w:r>
        <w:rPr>
          <w:rFonts w:ascii="Times New Roman" w:hAnsi="Times New Roman" w:eastAsia="Times New Roman"/>
          <w:b w:val="0"/>
          <w:sz w:val="28"/>
        </w:rPr>
        <w:t>Для целей настоящей работы целесообразно различать мотивацию и стимулирование. Мотивация связана с внутренним принятием цели и готовностью действовать. Стимулирование — с комплексом внешних мер со стороны субъекта управления, направленных на повышение эффективности труда путём согласования целей, потребностей и ожиданий работника с целями организации [10]. Удовлетворённость работой при этом может рассматриваться как результат взаимодействия мотивации с системой стимулов [10].</w:t>
      </w:r>
    </w:p>
    <w:p>
      <w:pPr>
        <w:spacing w:line="360" w:lineRule="auto"/>
        <w:ind w:firstLine="709"/>
        <w:jc w:val="both"/>
      </w:pPr>
      <w:r>
        <w:rPr>
          <w:rFonts w:ascii="Times New Roman" w:hAnsi="Times New Roman" w:eastAsia="Times New Roman"/>
          <w:b w:val="0"/>
          <w:sz w:val="28"/>
        </w:rPr>
        <w:t>Мотив труда формируется, когда у субъекта управления есть набор благ, отвечающих потребностям работника, а получение этих благ требует трудовых усилий [1; 5]. С. А. Шапиро отмечает, что трудовая деятельность даёт работнику возможность получить блага с относительно меньшими затратами по сравнению с альтернативными способами [5]. А. П. Егоршин трактует мотив как побудительную причину поведения, возникающую под влиянием потребностей и интересов [6].</w:t>
      </w:r>
    </w:p>
    <w:p>
      <w:pPr>
        <w:spacing w:line="360" w:lineRule="auto"/>
        <w:ind w:firstLine="709"/>
        <w:jc w:val="both"/>
      </w:pPr>
      <w:r>
        <w:rPr>
          <w:rFonts w:ascii="Times New Roman" w:hAnsi="Times New Roman" w:eastAsia="Times New Roman"/>
          <w:b w:val="0"/>
          <w:sz w:val="28"/>
        </w:rPr>
        <w:t>В учебнике под редакцией А. Я. Кибанова систематизированы теоретические основы мотивации и стимулирования на разных этапах жизненного цикла организации, классификация мотивов и стимулов, механизм формирования мотивационного ядра персонала, а также материальное денежное, материальное неденежное и нематериальное стимулирование [1]. Для клиентоориентированной организации особенно важно, чтобы в мотивационном ядре присутствовали не только мотивы дохода и безопасности, но и мотивы признания, достижения, принадлежности к сильной сервисной культуре.</w:t>
      </w:r>
    </w:p>
    <w:p>
      <w:pPr>
        <w:spacing w:line="360" w:lineRule="auto"/>
        <w:ind w:firstLine="709"/>
        <w:jc w:val="both"/>
      </w:pPr>
      <w:r>
        <w:rPr>
          <w:rFonts w:ascii="Times New Roman" w:hAnsi="Times New Roman" w:eastAsia="Times New Roman"/>
          <w:b w:val="0"/>
          <w:sz w:val="28"/>
        </w:rPr>
        <w:t>Классические содержательные теории (иерархия потребностей А. Маслоу, двухфакторная модель Ф. Герцберга, теория потребностей Д. МакКлелланда) используются в управленческой практике как рамка диагностики, а не как жёсткий закон. Гигиенические факторы (оплата, условия, стабильность) снижают неудовлетворённость, но сами по себе редко создают устойчивую клиентоориентированную вовлечённость; мотиваторы (признание, содержание труда, ответственность, рост) ближе к поведению «сделать для клиента больше ожидаемого». Процессуальные теории (ожидания, справедливость, постановка целей) объясняют, почему формально щедрый бонус может не работать, если связь «усилие — результат — вознаграждение» непрозрачна или воспринимается как несправедливая.</w:t>
      </w:r>
    </w:p>
    <w:p>
      <w:pPr>
        <w:spacing w:line="360" w:lineRule="auto"/>
        <w:ind w:firstLine="709"/>
        <w:jc w:val="both"/>
      </w:pPr>
      <w:r>
        <w:rPr>
          <w:rFonts w:ascii="Times New Roman" w:hAnsi="Times New Roman" w:eastAsia="Times New Roman"/>
          <w:b w:val="0"/>
          <w:sz w:val="28"/>
        </w:rPr>
        <w:t>Виды трудовой мотивации удобно группировать по нескольким основаниям:</w:t>
      </w:r>
    </w:p>
    <w:p>
      <w:pPr>
        <w:spacing w:line="360" w:lineRule="auto"/>
        <w:ind w:firstLine="709"/>
        <w:jc w:val="both"/>
      </w:pPr>
      <w:r>
        <w:rPr>
          <w:rFonts w:ascii="Times New Roman" w:hAnsi="Times New Roman" w:eastAsia="Times New Roman"/>
          <w:b w:val="0"/>
          <w:sz w:val="28"/>
        </w:rPr>
        <w:t>– по источнику: внутренняя (интерес к работе, смысл, мастерство) и внешняя (оплата, статус, санкции);</w:t>
      </w:r>
    </w:p>
    <w:p>
      <w:pPr>
        <w:spacing w:line="360" w:lineRule="auto"/>
        <w:ind w:firstLine="709"/>
        <w:jc w:val="both"/>
      </w:pPr>
      <w:r>
        <w:rPr>
          <w:rFonts w:ascii="Times New Roman" w:hAnsi="Times New Roman" w:eastAsia="Times New Roman"/>
          <w:b w:val="0"/>
          <w:sz w:val="28"/>
        </w:rPr>
        <w:t>– по содержанию стимула: материальная денежная, материальная неденежная, нематериальная;</w:t>
      </w:r>
    </w:p>
    <w:p>
      <w:pPr>
        <w:spacing w:line="360" w:lineRule="auto"/>
        <w:ind w:firstLine="709"/>
        <w:jc w:val="both"/>
      </w:pPr>
      <w:r>
        <w:rPr>
          <w:rFonts w:ascii="Times New Roman" w:hAnsi="Times New Roman" w:eastAsia="Times New Roman"/>
          <w:b w:val="0"/>
          <w:sz w:val="28"/>
        </w:rPr>
        <w:t>– по направленности: на индивидуальный результат, на командный результат, на клиентский результат;</w:t>
      </w:r>
    </w:p>
    <w:p>
      <w:pPr>
        <w:spacing w:line="360" w:lineRule="auto"/>
        <w:ind w:firstLine="709"/>
        <w:jc w:val="both"/>
      </w:pPr>
      <w:r>
        <w:rPr>
          <w:rFonts w:ascii="Times New Roman" w:hAnsi="Times New Roman" w:eastAsia="Times New Roman"/>
          <w:b w:val="0"/>
          <w:sz w:val="28"/>
        </w:rPr>
        <w:t>– по времени эффекта: краткосрочная (премия за месяц) и долгосрочная (карьера, развитие, участие).</w:t>
      </w:r>
    </w:p>
    <w:p>
      <w:pPr>
        <w:spacing w:line="360" w:lineRule="auto"/>
        <w:ind w:firstLine="709"/>
        <w:jc w:val="both"/>
      </w:pPr>
      <w:r>
        <w:rPr>
          <w:rFonts w:ascii="Times New Roman" w:hAnsi="Times New Roman" w:eastAsia="Times New Roman"/>
          <w:b w:val="0"/>
          <w:sz w:val="28"/>
        </w:rPr>
        <w:t>В опубликованном опросе сотрудников современных организаций (n = 61) к числу ключевых факторов мотивации отнесены заработная плата и условия работы; значимы также повышение квалификации, карьерные перспективы и отношения с руководством; нематериальные факторы оказываются не менее важными, чем материальные [11]. Этот результат не переносится автоматически на любой объект, но задаёт гипотезы для диагностики: даже в сервисной организации нельзя «заменить» справедливую оплату лозунгами о клиенте.</w:t>
      </w:r>
    </w:p>
    <w:p>
      <w:pPr>
        <w:spacing w:line="360" w:lineRule="auto"/>
        <w:ind w:firstLine="0"/>
        <w:jc w:val="center"/>
      </w:pPr>
      <w:r>
        <w:rPr>
          <w:rFonts w:ascii="Times New Roman" w:hAnsi="Times New Roman" w:eastAsia="Times New Roman"/>
          <w:b w:val="0"/>
          <w:sz w:val="24"/>
        </w:rPr>
        <w:t>Таблица 1 – Сопоставление акцентов мотивации в общей HR-логике и в клиентоориентированной логике</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r/>
            <w:r>
              <w:rPr>
                <w:rFonts w:ascii="Times New Roman" w:hAnsi="Times New Roman" w:eastAsia="Times New Roman"/>
                <w:b/>
                <w:sz w:val="20"/>
              </w:rPr>
              <w:t>Элемент системы</w:t>
            </w:r>
          </w:p>
        </w:tc>
        <w:tc>
          <w:tcPr>
            <w:tcW w:type="dxa" w:w="3118"/>
          </w:tcPr>
          <w:p>
            <w:r/>
            <w:r>
              <w:rPr>
                <w:rFonts w:ascii="Times New Roman" w:hAnsi="Times New Roman" w:eastAsia="Times New Roman"/>
                <w:b/>
                <w:sz w:val="20"/>
              </w:rPr>
              <w:t>Общая HR-логика</w:t>
            </w:r>
          </w:p>
        </w:tc>
        <w:tc>
          <w:tcPr>
            <w:tcW w:type="dxa" w:w="3118"/>
          </w:tcPr>
          <w:p>
            <w:r/>
            <w:r>
              <w:rPr>
                <w:rFonts w:ascii="Times New Roman" w:hAnsi="Times New Roman" w:eastAsia="Times New Roman"/>
                <w:b/>
                <w:sz w:val="20"/>
              </w:rPr>
              <w:t>Клиентоориентированная логика</w:t>
            </w:r>
          </w:p>
        </w:tc>
      </w:tr>
      <w:tr>
        <w:tc>
          <w:tcPr>
            <w:tcW w:type="dxa" w:w="3118"/>
          </w:tcPr>
          <w:p>
            <w:r/>
            <w:r>
              <w:rPr>
                <w:rFonts w:ascii="Times New Roman" w:hAnsi="Times New Roman" w:eastAsia="Times New Roman"/>
                <w:b w:val="0"/>
                <w:sz w:val="20"/>
              </w:rPr>
              <w:t>Цель стимула</w:t>
            </w:r>
          </w:p>
        </w:tc>
        <w:tc>
          <w:tcPr>
            <w:tcW w:type="dxa" w:w="3118"/>
          </w:tcPr>
          <w:p>
            <w:r/>
            <w:r>
              <w:rPr>
                <w:rFonts w:ascii="Times New Roman" w:hAnsi="Times New Roman" w:eastAsia="Times New Roman"/>
                <w:b w:val="0"/>
                <w:sz w:val="20"/>
              </w:rPr>
              <w:t>Производительность, исполнительность</w:t>
            </w:r>
          </w:p>
        </w:tc>
        <w:tc>
          <w:tcPr>
            <w:tcW w:type="dxa" w:w="3118"/>
          </w:tcPr>
          <w:p>
            <w:r/>
            <w:r>
              <w:rPr>
                <w:rFonts w:ascii="Times New Roman" w:hAnsi="Times New Roman" w:eastAsia="Times New Roman"/>
                <w:b w:val="0"/>
                <w:sz w:val="20"/>
              </w:rPr>
              <w:t>Качество отношений и ценность для клиента</w:t>
            </w:r>
          </w:p>
        </w:tc>
      </w:tr>
      <w:tr>
        <w:tc>
          <w:tcPr>
            <w:tcW w:type="dxa" w:w="3118"/>
          </w:tcPr>
          <w:p>
            <w:r/>
            <w:r>
              <w:rPr>
                <w:rFonts w:ascii="Times New Roman" w:hAnsi="Times New Roman" w:eastAsia="Times New Roman"/>
                <w:b w:val="0"/>
                <w:sz w:val="20"/>
              </w:rPr>
              <w:t>Ключевые KPI</w:t>
            </w:r>
          </w:p>
        </w:tc>
        <w:tc>
          <w:tcPr>
            <w:tcW w:type="dxa" w:w="3118"/>
          </w:tcPr>
          <w:p>
            <w:r/>
            <w:r>
              <w:rPr>
                <w:rFonts w:ascii="Times New Roman" w:hAnsi="Times New Roman" w:eastAsia="Times New Roman"/>
                <w:b w:val="0"/>
                <w:sz w:val="20"/>
              </w:rPr>
              <w:t>Выручка, выработка, дисциплина</w:t>
            </w:r>
          </w:p>
        </w:tc>
        <w:tc>
          <w:tcPr>
            <w:tcW w:type="dxa" w:w="3118"/>
          </w:tcPr>
          <w:p>
            <w:r/>
            <w:r>
              <w:rPr>
                <w:rFonts w:ascii="Times New Roman" w:hAnsi="Times New Roman" w:eastAsia="Times New Roman"/>
                <w:b w:val="0"/>
                <w:sz w:val="20"/>
              </w:rPr>
              <w:t>CSI/NPS, повторные покупки, решение с 1-го обращения, жалобы</w:t>
            </w:r>
          </w:p>
        </w:tc>
      </w:tr>
      <w:tr>
        <w:tc>
          <w:tcPr>
            <w:tcW w:type="dxa" w:w="3118"/>
          </w:tcPr>
          <w:p>
            <w:r/>
            <w:r>
              <w:rPr>
                <w:rFonts w:ascii="Times New Roman" w:hAnsi="Times New Roman" w:eastAsia="Times New Roman"/>
                <w:b w:val="0"/>
                <w:sz w:val="20"/>
              </w:rPr>
              <w:t>Обучение</w:t>
            </w:r>
          </w:p>
        </w:tc>
        <w:tc>
          <w:tcPr>
            <w:tcW w:type="dxa" w:w="3118"/>
          </w:tcPr>
          <w:p>
            <w:r/>
            <w:r>
              <w:rPr>
                <w:rFonts w:ascii="Times New Roman" w:hAnsi="Times New Roman" w:eastAsia="Times New Roman"/>
                <w:b w:val="0"/>
                <w:sz w:val="20"/>
              </w:rPr>
              <w:t>Функциональные навыки</w:t>
            </w:r>
          </w:p>
        </w:tc>
        <w:tc>
          <w:tcPr>
            <w:tcW w:type="dxa" w:w="3118"/>
          </w:tcPr>
          <w:p>
            <w:r/>
            <w:r>
              <w:rPr>
                <w:rFonts w:ascii="Times New Roman" w:hAnsi="Times New Roman" w:eastAsia="Times New Roman"/>
                <w:b w:val="0"/>
                <w:sz w:val="20"/>
              </w:rPr>
              <w:t>Технические + социальные навыки сервиса</w:t>
            </w:r>
          </w:p>
        </w:tc>
      </w:tr>
      <w:tr>
        <w:tc>
          <w:tcPr>
            <w:tcW w:type="dxa" w:w="3118"/>
          </w:tcPr>
          <w:p>
            <w:r/>
            <w:r>
              <w:rPr>
                <w:rFonts w:ascii="Times New Roman" w:hAnsi="Times New Roman" w:eastAsia="Times New Roman"/>
                <w:b w:val="0"/>
                <w:sz w:val="20"/>
              </w:rPr>
              <w:t>Признание</w:t>
            </w:r>
          </w:p>
        </w:tc>
        <w:tc>
          <w:tcPr>
            <w:tcW w:type="dxa" w:w="3118"/>
          </w:tcPr>
          <w:p>
            <w:r/>
            <w:r>
              <w:rPr>
                <w:rFonts w:ascii="Times New Roman" w:hAnsi="Times New Roman" w:eastAsia="Times New Roman"/>
                <w:b w:val="0"/>
                <w:sz w:val="20"/>
              </w:rPr>
              <w:t>За перевыполнение плана</w:t>
            </w:r>
          </w:p>
        </w:tc>
        <w:tc>
          <w:tcPr>
            <w:tcW w:type="dxa" w:w="3118"/>
          </w:tcPr>
          <w:p>
            <w:r/>
            <w:r>
              <w:rPr>
                <w:rFonts w:ascii="Times New Roman" w:hAnsi="Times New Roman" w:eastAsia="Times New Roman"/>
                <w:b w:val="0"/>
                <w:sz w:val="20"/>
              </w:rPr>
              <w:t>За вклад в лояльность и эталонный сервис</w:t>
            </w:r>
          </w:p>
        </w:tc>
      </w:tr>
      <w:tr>
        <w:tc>
          <w:tcPr>
            <w:tcW w:type="dxa" w:w="3118"/>
          </w:tcPr>
          <w:p>
            <w:r/>
            <w:r>
              <w:rPr>
                <w:rFonts w:ascii="Times New Roman" w:hAnsi="Times New Roman" w:eastAsia="Times New Roman"/>
                <w:b w:val="0"/>
                <w:sz w:val="20"/>
              </w:rPr>
              <w:t>Риск перекоса</w:t>
            </w:r>
          </w:p>
        </w:tc>
        <w:tc>
          <w:tcPr>
            <w:tcW w:type="dxa" w:w="3118"/>
          </w:tcPr>
          <w:p>
            <w:r/>
            <w:r>
              <w:rPr>
                <w:rFonts w:ascii="Times New Roman" w:hAnsi="Times New Roman" w:eastAsia="Times New Roman"/>
                <w:b w:val="0"/>
                <w:sz w:val="20"/>
              </w:rPr>
              <w:t>Выгорание от давления плана</w:t>
            </w:r>
          </w:p>
        </w:tc>
        <w:tc>
          <w:tcPr>
            <w:tcW w:type="dxa" w:w="3118"/>
          </w:tcPr>
          <w:p>
            <w:r/>
            <w:r>
              <w:rPr>
                <w:rFonts w:ascii="Times New Roman" w:hAnsi="Times New Roman" w:eastAsia="Times New Roman"/>
                <w:b w:val="0"/>
                <w:sz w:val="20"/>
              </w:rPr>
              <w:t>Формальный сервис без интереса к клиенту</w:t>
            </w:r>
          </w:p>
        </w:tc>
      </w:tr>
    </w:tbl>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Таким образом, сущность трудовой мотивации в клиентоориентированной организации состоит не только в побуждении к труду вообще, но в побуждении к труду определённого качества — труда, создающего и поддерживающего отношения с потребителем.</w:t>
      </w:r>
    </w:p>
    <w:p>
      <w:pPr>
        <w:spacing w:line="360" w:lineRule="auto"/>
        <w:ind w:firstLine="709"/>
        <w:jc w:val="both"/>
      </w:pPr>
      <w:r>
        <w:rPr>
          <w:rFonts w:ascii="Times New Roman" w:hAnsi="Times New Roman" w:eastAsia="Times New Roman"/>
          <w:b w:val="0"/>
          <w:sz w:val="28"/>
        </w:rPr>
        <w:t>Содержательный анализ мотивации требует учитывать неоднородность персонала. Мотивы новичка, опытного специалиста и неформального лидера команды сервиса различаются. Для новичка критичны ясность правил, обучающая поддержка и ощущение справедливости стартовых условий. Для опытного сотрудника возрастает роль признания экспертности, влияния на стандарты и карьерной траектории. Игнорирование этой неоднородности приводит к «средней» системе стимулов, которая слабо работает для всех групп.</w:t>
      </w:r>
    </w:p>
    <w:p>
      <w:pPr>
        <w:spacing w:line="360" w:lineRule="auto"/>
        <w:ind w:firstLine="709"/>
        <w:jc w:val="both"/>
      </w:pPr>
      <w:r>
        <w:rPr>
          <w:rFonts w:ascii="Times New Roman" w:hAnsi="Times New Roman" w:eastAsia="Times New Roman"/>
          <w:b w:val="0"/>
          <w:sz w:val="28"/>
        </w:rPr>
        <w:t>Материальное денежное стимулирование остаётся базовым контуром. Однако его эффективность зависит от структуры: соотношения гарантированной и переменной частей, порогов премирования, частоты выплат и понятности формулы. Слишком высокая доля жёстко «продажных» бонусов в клиентских ролях усиливает риск краткосрочного поведения. Слишком низкая переменная часть при размытых критериях сервиса снижает чувствительность системы к нужному поведению.</w:t>
      </w:r>
    </w:p>
    <w:p>
      <w:pPr>
        <w:spacing w:line="360" w:lineRule="auto"/>
        <w:ind w:firstLine="709"/>
        <w:jc w:val="both"/>
      </w:pPr>
      <w:r>
        <w:rPr>
          <w:rFonts w:ascii="Times New Roman" w:hAnsi="Times New Roman" w:eastAsia="Times New Roman"/>
          <w:b w:val="0"/>
          <w:sz w:val="28"/>
        </w:rPr>
        <w:t>Материальное неденежное стимулирование (ДМС, компенсация транспорта, питание, техника для работы) влияет прежде всего на факторы удержания и восприятия заботы работодателя. В логике Герцберга подобные элементы ближе к гигиеническим, но в условиях конкуренции за персонал их отсутствие становится демотиватором. Нематериальное стимулирование — признание, содержание труда, автономия, развитие — ближе к формированию внутренней готовности качественно работать с клиентом.</w:t>
      </w:r>
    </w:p>
    <w:p>
      <w:pPr>
        <w:spacing w:line="360" w:lineRule="auto"/>
        <w:ind w:firstLine="709"/>
        <w:jc w:val="both"/>
      </w:pPr>
      <w:r>
        <w:rPr>
          <w:rFonts w:ascii="Times New Roman" w:hAnsi="Times New Roman" w:eastAsia="Times New Roman"/>
          <w:b w:val="0"/>
          <w:sz w:val="28"/>
        </w:rPr>
        <w:t>Особое место занимает справедливость. Даже высокий абсолютный уровень оплаты может демотивировать, если сотрудники воспринимают распределение премий как произвольное. Поэтому прозрачность методики и сопоставимость нагрузки являются не «мягким» дополнением, а условием работоспособности всей системы мотивации.</w:t>
      </w:r>
    </w:p>
    <w:p>
      <w:pPr>
        <w:spacing w:line="360" w:lineRule="auto"/>
        <w:ind w:firstLine="0"/>
        <w:jc w:val="center"/>
      </w:pPr>
      <w:r>
        <w:rPr>
          <w:rFonts w:ascii="Times New Roman" w:hAnsi="Times New Roman" w:eastAsia="Times New Roman"/>
          <w:b/>
          <w:sz w:val="28"/>
        </w:rPr>
        <w:t>1.3 Этапы (процесс) управления трудовой мотивацией в организации</w:t>
      </w:r>
    </w:p>
    <w:p>
      <w:pPr>
        <w:spacing w:line="360" w:lineRule="auto"/>
        <w:ind w:firstLine="709"/>
        <w:jc w:val="both"/>
      </w:pPr>
      <w:r>
        <w:rPr>
          <w:rFonts w:ascii="Times New Roman" w:hAnsi="Times New Roman" w:eastAsia="Times New Roman"/>
          <w:b w:val="0"/>
          <w:sz w:val="28"/>
        </w:rPr>
        <w:t>Управление трудовой мотивацией целесообразно представлять как цикл, а не как разовую разработку положения о премировании. Опираясь на технологию формирования системы мотивации и стимулирования [1] и на логику формирования клиентоориентированности персонала [8], можно выделить следующие этапы.</w:t>
      </w:r>
    </w:p>
    <w:p>
      <w:pPr>
        <w:spacing w:line="360" w:lineRule="auto"/>
        <w:ind w:firstLine="709"/>
        <w:jc w:val="both"/>
      </w:pPr>
      <w:r>
        <w:rPr>
          <w:rFonts w:ascii="Times New Roman" w:hAnsi="Times New Roman" w:eastAsia="Times New Roman"/>
          <w:b w:val="0"/>
          <w:sz w:val="28"/>
        </w:rPr>
        <w:t>Этап 1. Диагностика потребностей и ожиданий персонала, а также требований бизнеса к клиентскому поведению. На этом этапе фиксируются: какие категории персонала контактируют с клиентом; какие поведения критичны; какие мотивы доминируют у разных групп.</w:t>
      </w:r>
    </w:p>
    <w:p>
      <w:pPr>
        <w:spacing w:line="360" w:lineRule="auto"/>
        <w:ind w:firstLine="709"/>
        <w:jc w:val="both"/>
      </w:pPr>
      <w:r>
        <w:rPr>
          <w:rFonts w:ascii="Times New Roman" w:hAnsi="Times New Roman" w:eastAsia="Times New Roman"/>
          <w:b w:val="0"/>
          <w:sz w:val="28"/>
        </w:rPr>
        <w:t>Этап 2. Определение целей системы мотивации. Для клиентоориентированной организации цели должны быть двойными: хозяйственные (оборот, маржа, производительность) и отношенческие (удовлетворённость, удержание клиентов, снижение обоснованных жалоб).</w:t>
      </w:r>
    </w:p>
    <w:p>
      <w:pPr>
        <w:spacing w:line="360" w:lineRule="auto"/>
        <w:ind w:firstLine="709"/>
        <w:jc w:val="both"/>
      </w:pPr>
      <w:r>
        <w:rPr>
          <w:rFonts w:ascii="Times New Roman" w:hAnsi="Times New Roman" w:eastAsia="Times New Roman"/>
          <w:b w:val="0"/>
          <w:sz w:val="28"/>
        </w:rPr>
        <w:t>Этап 3. Проектирование состава стимулов. Включает базовую оплату, переменную часть, социальные льготы, признание, обучение, карьерные траектории, организацию труда и обратную связь руководителя. Исследования показывают значимость мотивирующего поведения руководителя для лояльности сотрудника и его ориентации на клиента [9].</w:t>
      </w:r>
    </w:p>
    <w:p>
      <w:pPr>
        <w:spacing w:line="360" w:lineRule="auto"/>
        <w:ind w:firstLine="709"/>
        <w:jc w:val="both"/>
      </w:pPr>
      <w:r>
        <w:rPr>
          <w:rFonts w:ascii="Times New Roman" w:hAnsi="Times New Roman" w:eastAsia="Times New Roman"/>
          <w:b w:val="0"/>
          <w:sz w:val="28"/>
        </w:rPr>
        <w:t>Этап 4. Увязка стимулов с измеримыми показателями. Без измеримости система скатывается к субъективизму. Для сервисных ролей Т. Р. Романов обосновывает необходимость комплексной оценки клиентоориентированности и построения вознаграждения по категориям работников [10].</w:t>
      </w:r>
    </w:p>
    <w:p>
      <w:pPr>
        <w:spacing w:line="360" w:lineRule="auto"/>
        <w:ind w:firstLine="709"/>
        <w:jc w:val="both"/>
      </w:pPr>
      <w:r>
        <w:rPr>
          <w:rFonts w:ascii="Times New Roman" w:hAnsi="Times New Roman" w:eastAsia="Times New Roman"/>
          <w:b w:val="0"/>
          <w:sz w:val="28"/>
        </w:rPr>
        <w:t>Этап 5. Коммуникация правил. Сотрудник должен понимать, какое поведение поощряется, в какие сроки и по каким данным. Непрозрачность разрушает ожидания и ощущение справедливости.</w:t>
      </w:r>
    </w:p>
    <w:p>
      <w:pPr>
        <w:spacing w:line="360" w:lineRule="auto"/>
        <w:ind w:firstLine="709"/>
        <w:jc w:val="both"/>
      </w:pPr>
      <w:r>
        <w:rPr>
          <w:rFonts w:ascii="Times New Roman" w:hAnsi="Times New Roman" w:eastAsia="Times New Roman"/>
          <w:b w:val="0"/>
          <w:sz w:val="28"/>
        </w:rPr>
        <w:t>В литературе также подчёркивается, что мотивы труда являются частью более широкой системы мотивов личности. Это означает, что организация конкурирует за внимание и энергию сотрудника не только с другими работодателями, но и с внерабочими целями человека. Чрезмерная эксплуатация внешнего давления без поддержки смысла работы ускоряет выгорание персонала контактной зоны — именно той группы, от которой зависит впечатление клиента.</w:t>
      </w:r>
    </w:p>
    <w:p>
      <w:pPr>
        <w:spacing w:line="360" w:lineRule="auto"/>
        <w:ind w:firstLine="709"/>
        <w:jc w:val="both"/>
      </w:pPr>
      <w:r>
        <w:rPr>
          <w:rFonts w:ascii="Times New Roman" w:hAnsi="Times New Roman" w:eastAsia="Times New Roman"/>
          <w:b w:val="0"/>
          <w:sz w:val="28"/>
        </w:rPr>
        <w:t>Следовательно, управление трудовой мотивацией должно учитывать ресурс восстановления: режим труда и отдыха, предсказуемость смен, поддержку при эмоционально сложных клиентских ситуациях. Эти элементы формально относятся к организации труда, но по эффекту являются мотивационными и напрямую связаны с качеством сервиса.</w:t>
      </w:r>
    </w:p>
    <w:p>
      <w:pPr>
        <w:spacing w:line="360" w:lineRule="auto"/>
        <w:ind w:firstLine="709"/>
        <w:jc w:val="both"/>
      </w:pPr>
      <w:r>
        <w:rPr>
          <w:rFonts w:ascii="Times New Roman" w:hAnsi="Times New Roman" w:eastAsia="Times New Roman"/>
          <w:b w:val="0"/>
          <w:sz w:val="28"/>
        </w:rPr>
        <w:t>Для курсовой работы достаточно операционализировать вывод так: диагностика системы мотивации включает проверку не только премиальных формул, но и организационных условий, которые делают клиентоориентированное поведение физически и психологически выполнимым.</w:t>
      </w:r>
    </w:p>
    <w:p>
      <w:pPr>
        <w:spacing w:line="360" w:lineRule="auto"/>
        <w:ind w:firstLine="709"/>
        <w:jc w:val="both"/>
      </w:pPr>
      <w:r>
        <w:rPr>
          <w:rFonts w:ascii="Times New Roman" w:hAnsi="Times New Roman" w:eastAsia="Times New Roman"/>
          <w:b w:val="0"/>
          <w:sz w:val="28"/>
        </w:rPr>
        <w:t>Этап 6. Внедрение, мониторинг и корректировка. Анализируются текучесть в клиентских подразделениях, динамика жалоб, результаты mystery shopping / опросов клиентов, вовлечённость персонала. По итогам цикл возвращается к диагностике.</w:t>
      </w:r>
    </w:p>
    <w:p>
      <w:pPr>
        <w:spacing w:line="360" w:lineRule="auto"/>
        <w:ind w:firstLine="0"/>
        <w:jc w:val="center"/>
      </w:pPr>
      <w:r>
        <w:rPr>
          <w:rFonts w:ascii="Times New Roman" w:hAnsi="Times New Roman" w:eastAsia="Times New Roman"/>
          <w:b w:val="0"/>
          <w:sz w:val="24"/>
        </w:rPr>
        <w:t>Таблица 2 – Этапы управления трудовой мотивацией и типичные управленческие вопросы</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r/>
            <w:r>
              <w:rPr>
                <w:rFonts w:ascii="Times New Roman" w:hAnsi="Times New Roman" w:eastAsia="Times New Roman"/>
                <w:b/>
                <w:sz w:val="20"/>
              </w:rPr>
              <w:t>Этап</w:t>
            </w:r>
          </w:p>
        </w:tc>
        <w:tc>
          <w:tcPr>
            <w:tcW w:type="dxa" w:w="3118"/>
          </w:tcPr>
          <w:p>
            <w:r/>
            <w:r>
              <w:rPr>
                <w:rFonts w:ascii="Times New Roman" w:hAnsi="Times New Roman" w:eastAsia="Times New Roman"/>
                <w:b/>
                <w:sz w:val="20"/>
              </w:rPr>
              <w:t>Ключевой вопрос</w:t>
            </w:r>
          </w:p>
        </w:tc>
        <w:tc>
          <w:tcPr>
            <w:tcW w:type="dxa" w:w="3118"/>
          </w:tcPr>
          <w:p>
            <w:r/>
            <w:r>
              <w:rPr>
                <w:rFonts w:ascii="Times New Roman" w:hAnsi="Times New Roman" w:eastAsia="Times New Roman"/>
                <w:b/>
                <w:sz w:val="20"/>
              </w:rPr>
              <w:t>Результат этапа</w:t>
            </w:r>
          </w:p>
        </w:tc>
      </w:tr>
      <w:tr>
        <w:tc>
          <w:tcPr>
            <w:tcW w:type="dxa" w:w="3118"/>
          </w:tcPr>
          <w:p>
            <w:r/>
            <w:r>
              <w:rPr>
                <w:rFonts w:ascii="Times New Roman" w:hAnsi="Times New Roman" w:eastAsia="Times New Roman"/>
                <w:b w:val="0"/>
                <w:sz w:val="20"/>
              </w:rPr>
              <w:t>Диагностика</w:t>
            </w:r>
          </w:p>
        </w:tc>
        <w:tc>
          <w:tcPr>
            <w:tcW w:type="dxa" w:w="3118"/>
          </w:tcPr>
          <w:p>
            <w:r/>
            <w:r>
              <w:rPr>
                <w:rFonts w:ascii="Times New Roman" w:hAnsi="Times New Roman" w:eastAsia="Times New Roman"/>
                <w:b w:val="0"/>
                <w:sz w:val="20"/>
              </w:rPr>
              <w:t>Что реально движет персоналом и чего требует клиент?</w:t>
            </w:r>
          </w:p>
        </w:tc>
        <w:tc>
          <w:tcPr>
            <w:tcW w:type="dxa" w:w="3118"/>
          </w:tcPr>
          <w:p>
            <w:r/>
            <w:r>
              <w:rPr>
                <w:rFonts w:ascii="Times New Roman" w:hAnsi="Times New Roman" w:eastAsia="Times New Roman"/>
                <w:b w:val="0"/>
                <w:sz w:val="20"/>
              </w:rPr>
              <w:t>Карта мотивов и требований</w:t>
            </w:r>
          </w:p>
        </w:tc>
      </w:tr>
      <w:tr>
        <w:tc>
          <w:tcPr>
            <w:tcW w:type="dxa" w:w="3118"/>
          </w:tcPr>
          <w:p>
            <w:r/>
            <w:r>
              <w:rPr>
                <w:rFonts w:ascii="Times New Roman" w:hAnsi="Times New Roman" w:eastAsia="Times New Roman"/>
                <w:b w:val="0"/>
                <w:sz w:val="20"/>
              </w:rPr>
              <w:t>Целеполагание</w:t>
            </w:r>
          </w:p>
        </w:tc>
        <w:tc>
          <w:tcPr>
            <w:tcW w:type="dxa" w:w="3118"/>
          </w:tcPr>
          <w:p>
            <w:r/>
            <w:r>
              <w:rPr>
                <w:rFonts w:ascii="Times New Roman" w:hAnsi="Times New Roman" w:eastAsia="Times New Roman"/>
                <w:b w:val="0"/>
                <w:sz w:val="20"/>
              </w:rPr>
              <w:t>Какие результаты считаем успехом?</w:t>
            </w:r>
          </w:p>
        </w:tc>
        <w:tc>
          <w:tcPr>
            <w:tcW w:type="dxa" w:w="3118"/>
          </w:tcPr>
          <w:p>
            <w:r/>
            <w:r>
              <w:rPr>
                <w:rFonts w:ascii="Times New Roman" w:hAnsi="Times New Roman" w:eastAsia="Times New Roman"/>
                <w:b w:val="0"/>
                <w:sz w:val="20"/>
              </w:rPr>
              <w:t>Дерево целей и KPI</w:t>
            </w:r>
          </w:p>
        </w:tc>
      </w:tr>
      <w:tr>
        <w:tc>
          <w:tcPr>
            <w:tcW w:type="dxa" w:w="3118"/>
          </w:tcPr>
          <w:p>
            <w:r/>
            <w:r>
              <w:rPr>
                <w:rFonts w:ascii="Times New Roman" w:hAnsi="Times New Roman" w:eastAsia="Times New Roman"/>
                <w:b w:val="0"/>
                <w:sz w:val="20"/>
              </w:rPr>
              <w:t>Проектирование стимулов</w:t>
            </w:r>
          </w:p>
        </w:tc>
        <w:tc>
          <w:tcPr>
            <w:tcW w:type="dxa" w:w="3118"/>
          </w:tcPr>
          <w:p>
            <w:r/>
            <w:r>
              <w:rPr>
                <w:rFonts w:ascii="Times New Roman" w:hAnsi="Times New Roman" w:eastAsia="Times New Roman"/>
                <w:b w:val="0"/>
                <w:sz w:val="20"/>
              </w:rPr>
              <w:t>Чем будем подкреплять нужное поведение?</w:t>
            </w:r>
          </w:p>
        </w:tc>
        <w:tc>
          <w:tcPr>
            <w:tcW w:type="dxa" w:w="3118"/>
          </w:tcPr>
          <w:p>
            <w:r/>
            <w:r>
              <w:rPr>
                <w:rFonts w:ascii="Times New Roman" w:hAnsi="Times New Roman" w:eastAsia="Times New Roman"/>
                <w:b w:val="0"/>
                <w:sz w:val="20"/>
              </w:rPr>
              <w:t>Пакет материальных и нематериальных мер</w:t>
            </w:r>
          </w:p>
        </w:tc>
      </w:tr>
      <w:tr>
        <w:tc>
          <w:tcPr>
            <w:tcW w:type="dxa" w:w="3118"/>
          </w:tcPr>
          <w:p>
            <w:r/>
            <w:r>
              <w:rPr>
                <w:rFonts w:ascii="Times New Roman" w:hAnsi="Times New Roman" w:eastAsia="Times New Roman"/>
                <w:b w:val="0"/>
                <w:sz w:val="20"/>
              </w:rPr>
              <w:t>Измерение</w:t>
            </w:r>
          </w:p>
        </w:tc>
        <w:tc>
          <w:tcPr>
            <w:tcW w:type="dxa" w:w="3118"/>
          </w:tcPr>
          <w:p>
            <w:r/>
            <w:r>
              <w:rPr>
                <w:rFonts w:ascii="Times New Roman" w:hAnsi="Times New Roman" w:eastAsia="Times New Roman"/>
                <w:b w:val="0"/>
                <w:sz w:val="20"/>
              </w:rPr>
              <w:t>Как отличим успех от имитации сервиса?</w:t>
            </w:r>
          </w:p>
        </w:tc>
        <w:tc>
          <w:tcPr>
            <w:tcW w:type="dxa" w:w="3118"/>
          </w:tcPr>
          <w:p>
            <w:r/>
            <w:r>
              <w:rPr>
                <w:rFonts w:ascii="Times New Roman" w:hAnsi="Times New Roman" w:eastAsia="Times New Roman"/>
                <w:b w:val="0"/>
                <w:sz w:val="20"/>
              </w:rPr>
              <w:t>Методика оценки и источники данных</w:t>
            </w:r>
          </w:p>
        </w:tc>
      </w:tr>
      <w:tr>
        <w:tc>
          <w:tcPr>
            <w:tcW w:type="dxa" w:w="3118"/>
          </w:tcPr>
          <w:p>
            <w:r/>
            <w:r>
              <w:rPr>
                <w:rFonts w:ascii="Times New Roman" w:hAnsi="Times New Roman" w:eastAsia="Times New Roman"/>
                <w:b w:val="0"/>
                <w:sz w:val="20"/>
              </w:rPr>
              <w:t>Коммуникация</w:t>
            </w:r>
          </w:p>
        </w:tc>
        <w:tc>
          <w:tcPr>
            <w:tcW w:type="dxa" w:w="3118"/>
          </w:tcPr>
          <w:p>
            <w:r/>
            <w:r>
              <w:rPr>
                <w:rFonts w:ascii="Times New Roman" w:hAnsi="Times New Roman" w:eastAsia="Times New Roman"/>
                <w:b w:val="0"/>
                <w:sz w:val="20"/>
              </w:rPr>
              <w:t>Понятны ли правила сотруднику?</w:t>
            </w:r>
          </w:p>
        </w:tc>
        <w:tc>
          <w:tcPr>
            <w:tcW w:type="dxa" w:w="3118"/>
          </w:tcPr>
          <w:p>
            <w:r/>
            <w:r>
              <w:rPr>
                <w:rFonts w:ascii="Times New Roman" w:hAnsi="Times New Roman" w:eastAsia="Times New Roman"/>
                <w:b w:val="0"/>
                <w:sz w:val="20"/>
              </w:rPr>
              <w:t>Регламент и обучение правилам</w:t>
            </w:r>
          </w:p>
        </w:tc>
      </w:tr>
      <w:tr>
        <w:tc>
          <w:tcPr>
            <w:tcW w:type="dxa" w:w="3118"/>
          </w:tcPr>
          <w:p>
            <w:r/>
            <w:r>
              <w:rPr>
                <w:rFonts w:ascii="Times New Roman" w:hAnsi="Times New Roman" w:eastAsia="Times New Roman"/>
                <w:b w:val="0"/>
                <w:sz w:val="20"/>
              </w:rPr>
              <w:t>Мониторинг</w:t>
            </w:r>
          </w:p>
        </w:tc>
        <w:tc>
          <w:tcPr>
            <w:tcW w:type="dxa" w:w="3118"/>
          </w:tcPr>
          <w:p>
            <w:r/>
            <w:r>
              <w:rPr>
                <w:rFonts w:ascii="Times New Roman" w:hAnsi="Times New Roman" w:eastAsia="Times New Roman"/>
                <w:b w:val="0"/>
                <w:sz w:val="20"/>
              </w:rPr>
              <w:t>Что изменить в следующем цикле?</w:t>
            </w:r>
          </w:p>
        </w:tc>
        <w:tc>
          <w:tcPr>
            <w:tcW w:type="dxa" w:w="3118"/>
          </w:tcPr>
          <w:p>
            <w:r/>
            <w:r>
              <w:rPr>
                <w:rFonts w:ascii="Times New Roman" w:hAnsi="Times New Roman" w:eastAsia="Times New Roman"/>
                <w:b w:val="0"/>
                <w:sz w:val="20"/>
              </w:rPr>
              <w:t>Отчёт и корректирующие действия</w:t>
            </w:r>
          </w:p>
        </w:tc>
      </w:tr>
    </w:tbl>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Отдельный акцент следует сделать на различии проблемы бизнеса и проблемы исследования. Бизнес хочет более лояльного клиента и стабильный сервис. Исследование должно ответить, какие элементы мотивации создают разрыв и какие изменения с наибольшей вероятностью его сокращают. Именно поэтому в методических рекомендациях по курсовой работе требуется не только описание теории, но и выбор методики анализа фактического состояния объекта.</w:t>
      </w:r>
    </w:p>
    <w:p>
      <w:pPr>
        <w:spacing w:line="360" w:lineRule="auto"/>
        <w:ind w:firstLine="709"/>
        <w:jc w:val="both"/>
      </w:pPr>
      <w:r>
        <w:rPr>
          <w:rFonts w:ascii="Times New Roman" w:hAnsi="Times New Roman" w:eastAsia="Times New Roman"/>
          <w:b w:val="0"/>
          <w:sz w:val="28"/>
        </w:rPr>
        <w:t>На практике цикл управления мотивацией часто обрывается после утверждения положения о премировании. Документ существует, но не сопровождается обучением руководителей, не связан с данными CRM и сервиса, не пересматривается по итогам года. В клиентоориентированной организации такой обрыв особенно опасен: рынок и ожидания клиентов меняются быстрее, чем внутренние регламенты.</w:t>
      </w:r>
    </w:p>
    <w:p>
      <w:pPr>
        <w:spacing w:line="360" w:lineRule="auto"/>
        <w:ind w:firstLine="709"/>
        <w:jc w:val="both"/>
      </w:pPr>
      <w:r>
        <w:rPr>
          <w:rFonts w:ascii="Times New Roman" w:hAnsi="Times New Roman" w:eastAsia="Times New Roman"/>
          <w:b w:val="0"/>
          <w:sz w:val="28"/>
        </w:rPr>
        <w:t>Ещё один типовой сбой цикла — подмена мониторинга отчётностью «для галочки». Если руководителю достаточно формально заполнить лист оценки, а результаты не влияют на решения, сотрудники перестают воспринимать оценку как значимую. Тогда даже правильно сформулированные KPI теряют мотивационную силу.</w:t>
      </w:r>
    </w:p>
    <w:p>
      <w:pPr>
        <w:spacing w:line="360" w:lineRule="auto"/>
        <w:ind w:firstLine="709"/>
        <w:jc w:val="both"/>
      </w:pPr>
      <w:r>
        <w:rPr>
          <w:rFonts w:ascii="Times New Roman" w:hAnsi="Times New Roman" w:eastAsia="Times New Roman"/>
          <w:b w:val="0"/>
          <w:sz w:val="28"/>
        </w:rPr>
        <w:t>Наконец, этап коммуникации нельзя сводить к рассылке файла. Изменение правил дохода — чувствительная тема. Нужны встречи, примеры расчёта, ответы на вопросы, пилотный период. Иначе сопротивление будет направлено не против клиентоориентированности как идеи, а против ощущения скрытого ухудшения условий труда.</w:t>
      </w:r>
    </w:p>
    <w:p>
      <w:pPr>
        <w:spacing w:line="360" w:lineRule="auto"/>
        <w:ind w:firstLine="0"/>
        <w:jc w:val="center"/>
      </w:pPr>
      <w:r>
        <w:rPr>
          <w:rFonts w:ascii="Times New Roman" w:hAnsi="Times New Roman" w:eastAsia="Times New Roman"/>
          <w:b/>
          <w:sz w:val="28"/>
        </w:rPr>
        <w:t>1.4 Методические основы анализа системы трудовой мотивации</w:t>
      </w:r>
    </w:p>
    <w:p>
      <w:pPr>
        <w:spacing w:line="360" w:lineRule="auto"/>
        <w:ind w:firstLine="709"/>
        <w:jc w:val="both"/>
      </w:pPr>
      <w:r>
        <w:rPr>
          <w:rFonts w:ascii="Times New Roman" w:hAnsi="Times New Roman" w:eastAsia="Times New Roman"/>
          <w:b w:val="0"/>
          <w:sz w:val="28"/>
        </w:rPr>
        <w:t>Методика анализа, предлагаемая в настоящей работе, синтезирует: (а) подходы к оценке системы мотивации и стимулирования [1; 12]; (б) элементы оценки клиентоориентированности персонала [8; 10]; (в) требования методических рекомендаций дисциплины к использованию вторичных и первичных данных, анализу потребителей, конкурентов, макросреды и SWOT-анализу.</w:t>
      </w:r>
    </w:p>
    <w:p>
      <w:pPr>
        <w:spacing w:line="360" w:lineRule="auto"/>
        <w:ind w:firstLine="709"/>
        <w:jc w:val="both"/>
      </w:pPr>
      <w:r>
        <w:rPr>
          <w:rFonts w:ascii="Times New Roman" w:hAnsi="Times New Roman" w:eastAsia="Times New Roman"/>
          <w:b w:val="0"/>
          <w:sz w:val="28"/>
        </w:rPr>
        <w:t>Алгоритм анализа включает семь шагов.</w:t>
      </w:r>
    </w:p>
    <w:p>
      <w:pPr>
        <w:spacing w:line="360" w:lineRule="auto"/>
        <w:ind w:firstLine="709"/>
        <w:jc w:val="both"/>
      </w:pPr>
      <w:r>
        <w:rPr>
          <w:rFonts w:ascii="Times New Roman" w:hAnsi="Times New Roman" w:eastAsia="Times New Roman"/>
          <w:b w:val="0"/>
          <w:sz w:val="28"/>
        </w:rPr>
        <w:t>1) Охарактеризовать организацию: вид деятельности, сегменты клиентов, структура персонала контактной зоны.</w:t>
      </w:r>
    </w:p>
    <w:p>
      <w:pPr>
        <w:spacing w:line="360" w:lineRule="auto"/>
        <w:ind w:firstLine="709"/>
        <w:jc w:val="both"/>
      </w:pPr>
      <w:r>
        <w:rPr>
          <w:rFonts w:ascii="Times New Roman" w:hAnsi="Times New Roman" w:eastAsia="Times New Roman"/>
          <w:b w:val="0"/>
          <w:sz w:val="28"/>
        </w:rPr>
        <w:t>2) Описать действующую систему оплаты и стимулирования по документам и интервью с HR/руководителями.</w:t>
      </w:r>
    </w:p>
    <w:p>
      <w:pPr>
        <w:spacing w:line="360" w:lineRule="auto"/>
        <w:ind w:firstLine="709"/>
        <w:jc w:val="both"/>
      </w:pPr>
      <w:r>
        <w:rPr>
          <w:rFonts w:ascii="Times New Roman" w:hAnsi="Times New Roman" w:eastAsia="Times New Roman"/>
          <w:b w:val="0"/>
          <w:sz w:val="28"/>
        </w:rPr>
        <w:t>3) Сопоставить стимулы с желаемым клиентоориентированным поведением (есть ли прямая связь).</w:t>
      </w:r>
    </w:p>
    <w:p>
      <w:pPr>
        <w:spacing w:line="360" w:lineRule="auto"/>
        <w:ind w:firstLine="709"/>
        <w:jc w:val="both"/>
      </w:pPr>
      <w:r>
        <w:rPr>
          <w:rFonts w:ascii="Times New Roman" w:hAnsi="Times New Roman" w:eastAsia="Times New Roman"/>
          <w:b w:val="0"/>
          <w:sz w:val="28"/>
        </w:rPr>
        <w:t>4) Оценить внешний контур: ожидания потребителей, действия конкурентов, факторы макросреды.</w:t>
      </w:r>
    </w:p>
    <w:p>
      <w:pPr>
        <w:spacing w:line="360" w:lineRule="auto"/>
        <w:ind w:firstLine="709"/>
        <w:jc w:val="both"/>
      </w:pPr>
      <w:r>
        <w:rPr>
          <w:rFonts w:ascii="Times New Roman" w:hAnsi="Times New Roman" w:eastAsia="Times New Roman"/>
          <w:b w:val="0"/>
          <w:sz w:val="28"/>
        </w:rPr>
        <w:t>5) Провести опрос персонала по анкете (приложение А) и сопоставить самооценку мотивов с официальной системой.</w:t>
      </w:r>
    </w:p>
    <w:p>
      <w:pPr>
        <w:spacing w:line="360" w:lineRule="auto"/>
        <w:ind w:firstLine="709"/>
        <w:jc w:val="both"/>
      </w:pPr>
      <w:r>
        <w:rPr>
          <w:rFonts w:ascii="Times New Roman" w:hAnsi="Times New Roman" w:eastAsia="Times New Roman"/>
          <w:b w:val="0"/>
          <w:sz w:val="28"/>
        </w:rPr>
        <w:t>6) Построить SWOT-матрицу именно по вопросу мотивации и клиентоориентированности, а не «вообще по фирме».</w:t>
      </w:r>
    </w:p>
    <w:p>
      <w:pPr>
        <w:spacing w:line="360" w:lineRule="auto"/>
        <w:ind w:firstLine="709"/>
        <w:jc w:val="both"/>
      </w:pPr>
      <w:r>
        <w:rPr>
          <w:rFonts w:ascii="Times New Roman" w:hAnsi="Times New Roman" w:eastAsia="Times New Roman"/>
          <w:b w:val="0"/>
          <w:sz w:val="28"/>
        </w:rPr>
        <w:t>7) Сформулировать разрывы и перевести их в задачи главы 3.</w:t>
      </w:r>
    </w:p>
    <w:p>
      <w:pPr>
        <w:spacing w:line="360" w:lineRule="auto"/>
        <w:ind w:firstLine="709"/>
        <w:jc w:val="both"/>
      </w:pPr>
      <w:r>
        <w:rPr>
          <w:rFonts w:ascii="Times New Roman" w:hAnsi="Times New Roman" w:eastAsia="Times New Roman"/>
          <w:b w:val="0"/>
          <w:sz w:val="28"/>
        </w:rPr>
        <w:t>Показатели для анализа целесообразно разделить на три группы. Группа A — кадровые: текучесть в контактных подразделениях, срок закрытия вакансий, абсентеизм, доля прошедших обучение сервису. Группа B — клиентские: индекс удовлетворённости, доля повторных обращений, число обоснованных жалоб на 1000 операций, скорость решения обращения. Группа C — мотивационные: понятность системы премирования, воспринимаемая справедливость, значимость отдельных факторов мотивации, готовность рекомендовать работодателя. Группы A и B заполняются из учётных систем организации; группа C — из опроса.</w:t>
      </w:r>
    </w:p>
    <w:p>
      <w:pPr>
        <w:spacing w:line="360" w:lineRule="auto"/>
        <w:ind w:firstLine="0"/>
        <w:jc w:val="center"/>
      </w:pPr>
      <w:r>
        <w:rPr>
          <w:rFonts w:ascii="Times New Roman" w:hAnsi="Times New Roman" w:eastAsia="Times New Roman"/>
          <w:b w:val="0"/>
          <w:sz w:val="24"/>
        </w:rPr>
        <w:t>Таблица 3 – Методическая карта анализа (что берём и откуда)</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r/>
            <w:r>
              <w:rPr>
                <w:rFonts w:ascii="Times New Roman" w:hAnsi="Times New Roman" w:eastAsia="Times New Roman"/>
                <w:b/>
                <w:sz w:val="20"/>
              </w:rPr>
              <w:t>Блок анализа</w:t>
            </w:r>
          </w:p>
        </w:tc>
        <w:tc>
          <w:tcPr>
            <w:tcW w:type="dxa" w:w="3118"/>
          </w:tcPr>
          <w:p>
            <w:r/>
            <w:r>
              <w:rPr>
                <w:rFonts w:ascii="Times New Roman" w:hAnsi="Times New Roman" w:eastAsia="Times New Roman"/>
                <w:b/>
                <w:sz w:val="20"/>
              </w:rPr>
              <w:t>Источник данных</w:t>
            </w:r>
          </w:p>
        </w:tc>
        <w:tc>
          <w:tcPr>
            <w:tcW w:type="dxa" w:w="3118"/>
          </w:tcPr>
          <w:p>
            <w:r/>
            <w:r>
              <w:rPr>
                <w:rFonts w:ascii="Times New Roman" w:hAnsi="Times New Roman" w:eastAsia="Times New Roman"/>
                <w:b/>
                <w:sz w:val="20"/>
              </w:rPr>
              <w:t>Можно ли заменить вымыслом?</w:t>
            </w:r>
          </w:p>
        </w:tc>
      </w:tr>
      <w:tr>
        <w:tc>
          <w:tcPr>
            <w:tcW w:type="dxa" w:w="3118"/>
          </w:tcPr>
          <w:p>
            <w:r/>
            <w:r>
              <w:rPr>
                <w:rFonts w:ascii="Times New Roman" w:hAnsi="Times New Roman" w:eastAsia="Times New Roman"/>
                <w:b w:val="0"/>
                <w:sz w:val="20"/>
              </w:rPr>
              <w:t>Характеристика организации</w:t>
            </w:r>
          </w:p>
        </w:tc>
        <w:tc>
          <w:tcPr>
            <w:tcW w:type="dxa" w:w="3118"/>
          </w:tcPr>
          <w:p>
            <w:r/>
            <w:r>
              <w:rPr>
                <w:rFonts w:ascii="Times New Roman" w:hAnsi="Times New Roman" w:eastAsia="Times New Roman"/>
                <w:b w:val="0"/>
                <w:sz w:val="20"/>
              </w:rPr>
              <w:t>Устав, сайт, отчёты, интервью</w:t>
            </w:r>
          </w:p>
        </w:tc>
        <w:tc>
          <w:tcPr>
            <w:tcW w:type="dxa" w:w="3118"/>
          </w:tcPr>
          <w:p>
            <w:r/>
            <w:r>
              <w:rPr>
                <w:rFonts w:ascii="Times New Roman" w:hAnsi="Times New Roman" w:eastAsia="Times New Roman"/>
                <w:b w:val="0"/>
                <w:sz w:val="20"/>
              </w:rPr>
              <w:t>Нет</w:t>
            </w:r>
          </w:p>
        </w:tc>
      </w:tr>
      <w:tr>
        <w:tc>
          <w:tcPr>
            <w:tcW w:type="dxa" w:w="3118"/>
          </w:tcPr>
          <w:p>
            <w:r/>
            <w:r>
              <w:rPr>
                <w:rFonts w:ascii="Times New Roman" w:hAnsi="Times New Roman" w:eastAsia="Times New Roman"/>
                <w:b w:val="0"/>
                <w:sz w:val="20"/>
              </w:rPr>
              <w:t>Система оплаты/премий</w:t>
            </w:r>
          </w:p>
        </w:tc>
        <w:tc>
          <w:tcPr>
            <w:tcW w:type="dxa" w:w="3118"/>
          </w:tcPr>
          <w:p>
            <w:r/>
            <w:r>
              <w:rPr>
                <w:rFonts w:ascii="Times New Roman" w:hAnsi="Times New Roman" w:eastAsia="Times New Roman"/>
                <w:b w:val="0"/>
                <w:sz w:val="20"/>
              </w:rPr>
              <w:t>Положения, расчётные листы (обезличенно)</w:t>
            </w:r>
          </w:p>
        </w:tc>
        <w:tc>
          <w:tcPr>
            <w:tcW w:type="dxa" w:w="3118"/>
          </w:tcPr>
          <w:p>
            <w:r/>
            <w:r>
              <w:rPr>
                <w:rFonts w:ascii="Times New Roman" w:hAnsi="Times New Roman" w:eastAsia="Times New Roman"/>
                <w:b w:val="0"/>
                <w:sz w:val="20"/>
              </w:rPr>
              <w:t>Нет</w:t>
            </w:r>
          </w:p>
        </w:tc>
      </w:tr>
      <w:tr>
        <w:tc>
          <w:tcPr>
            <w:tcW w:type="dxa" w:w="3118"/>
          </w:tcPr>
          <w:p>
            <w:r/>
            <w:r>
              <w:rPr>
                <w:rFonts w:ascii="Times New Roman" w:hAnsi="Times New Roman" w:eastAsia="Times New Roman"/>
                <w:b w:val="0"/>
                <w:sz w:val="20"/>
              </w:rPr>
              <w:t>Потребители и конкуренты</w:t>
            </w:r>
          </w:p>
        </w:tc>
        <w:tc>
          <w:tcPr>
            <w:tcW w:type="dxa" w:w="3118"/>
          </w:tcPr>
          <w:p>
            <w:r/>
            <w:r>
              <w:rPr>
                <w:rFonts w:ascii="Times New Roman" w:hAnsi="Times New Roman" w:eastAsia="Times New Roman"/>
                <w:b w:val="0"/>
                <w:sz w:val="20"/>
              </w:rPr>
              <w:t>Маркетинговые обзоры, отзывы, бенчмаркинг</w:t>
            </w:r>
          </w:p>
        </w:tc>
        <w:tc>
          <w:tcPr>
            <w:tcW w:type="dxa" w:w="3118"/>
          </w:tcPr>
          <w:p>
            <w:r/>
            <w:r>
              <w:rPr>
                <w:rFonts w:ascii="Times New Roman" w:hAnsi="Times New Roman" w:eastAsia="Times New Roman"/>
                <w:b w:val="0"/>
                <w:sz w:val="20"/>
              </w:rPr>
              <w:t>Нет</w:t>
            </w:r>
          </w:p>
        </w:tc>
      </w:tr>
      <w:tr>
        <w:tc>
          <w:tcPr>
            <w:tcW w:type="dxa" w:w="3118"/>
          </w:tcPr>
          <w:p>
            <w:r/>
            <w:r>
              <w:rPr>
                <w:rFonts w:ascii="Times New Roman" w:hAnsi="Times New Roman" w:eastAsia="Times New Roman"/>
                <w:b w:val="0"/>
                <w:sz w:val="20"/>
              </w:rPr>
              <w:t>Мнения персонала</w:t>
            </w:r>
          </w:p>
        </w:tc>
        <w:tc>
          <w:tcPr>
            <w:tcW w:type="dxa" w:w="3118"/>
          </w:tcPr>
          <w:p>
            <w:r/>
            <w:r>
              <w:rPr>
                <w:rFonts w:ascii="Times New Roman" w:hAnsi="Times New Roman" w:eastAsia="Times New Roman"/>
                <w:b w:val="0"/>
                <w:sz w:val="20"/>
              </w:rPr>
              <w:t>Анкета приложения А</w:t>
            </w:r>
          </w:p>
        </w:tc>
        <w:tc>
          <w:tcPr>
            <w:tcW w:type="dxa" w:w="3118"/>
          </w:tcPr>
          <w:p>
            <w:r/>
            <w:r>
              <w:rPr>
                <w:rFonts w:ascii="Times New Roman" w:hAnsi="Times New Roman" w:eastAsia="Times New Roman"/>
                <w:b w:val="0"/>
                <w:sz w:val="20"/>
              </w:rPr>
              <w:t>Нет; до опроса — только гипотезы</w:t>
            </w:r>
          </w:p>
        </w:tc>
      </w:tr>
      <w:tr>
        <w:tc>
          <w:tcPr>
            <w:tcW w:type="dxa" w:w="3118"/>
          </w:tcPr>
          <w:p>
            <w:r/>
            <w:r>
              <w:rPr>
                <w:rFonts w:ascii="Times New Roman" w:hAnsi="Times New Roman" w:eastAsia="Times New Roman"/>
                <w:b w:val="0"/>
                <w:sz w:val="20"/>
              </w:rPr>
              <w:t>Макросреда</w:t>
            </w:r>
          </w:p>
        </w:tc>
        <w:tc>
          <w:tcPr>
            <w:tcW w:type="dxa" w:w="3118"/>
          </w:tcPr>
          <w:p>
            <w:r/>
            <w:r>
              <w:rPr>
                <w:rFonts w:ascii="Times New Roman" w:hAnsi="Times New Roman" w:eastAsia="Times New Roman"/>
                <w:b w:val="0"/>
                <w:sz w:val="20"/>
              </w:rPr>
              <w:t>Открытая статистика, нормативные акты</w:t>
            </w:r>
          </w:p>
        </w:tc>
        <w:tc>
          <w:tcPr>
            <w:tcW w:type="dxa" w:w="3118"/>
          </w:tcPr>
          <w:p>
            <w:r/>
            <w:r>
              <w:rPr>
                <w:rFonts w:ascii="Times New Roman" w:hAnsi="Times New Roman" w:eastAsia="Times New Roman"/>
                <w:b w:val="0"/>
                <w:sz w:val="20"/>
              </w:rPr>
              <w:t>Нет</w:t>
            </w:r>
          </w:p>
        </w:tc>
      </w:tr>
      <w:tr>
        <w:tc>
          <w:tcPr>
            <w:tcW w:type="dxa" w:w="3118"/>
          </w:tcPr>
          <w:p>
            <w:r/>
            <w:r>
              <w:rPr>
                <w:rFonts w:ascii="Times New Roman" w:hAnsi="Times New Roman" w:eastAsia="Times New Roman"/>
                <w:b w:val="0"/>
                <w:sz w:val="20"/>
              </w:rPr>
              <w:t>SWOT</w:t>
            </w:r>
          </w:p>
        </w:tc>
        <w:tc>
          <w:tcPr>
            <w:tcW w:type="dxa" w:w="3118"/>
          </w:tcPr>
          <w:p>
            <w:r/>
            <w:r>
              <w:rPr>
                <w:rFonts w:ascii="Times New Roman" w:hAnsi="Times New Roman" w:eastAsia="Times New Roman"/>
                <w:b w:val="0"/>
                <w:sz w:val="20"/>
              </w:rPr>
              <w:t>Синтез предыдущих блоков</w:t>
            </w:r>
          </w:p>
        </w:tc>
        <w:tc>
          <w:tcPr>
            <w:tcW w:type="dxa" w:w="3118"/>
          </w:tcPr>
          <w:p>
            <w:r/>
            <w:r>
              <w:rPr>
                <w:rFonts w:ascii="Times New Roman" w:hAnsi="Times New Roman" w:eastAsia="Times New Roman"/>
                <w:b w:val="0"/>
                <w:sz w:val="20"/>
              </w:rPr>
              <w:t>Только как качественный вывод из фактов</w:t>
            </w:r>
          </w:p>
        </w:tc>
      </w:tr>
    </w:tbl>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Выбор данного подхода обусловлен задачей курсовой: показать не «красивую историю о мотивации», а проверяемую логику исследования. В главе 2 подход применяется к типовой модели клиентоориентированной организации клиентского сервиса с опорой на опубликованные результаты исследований; места, требующие цифр конкретного предприятия, отмечены как подлежащие заполнению по первичным данным.</w:t>
      </w:r>
    </w:p>
    <w:p>
      <w:pPr>
        <w:spacing w:line="360" w:lineRule="auto"/>
        <w:ind w:firstLine="709"/>
        <w:jc w:val="both"/>
      </w:pPr>
      <w:r>
        <w:rPr>
          <w:rFonts w:ascii="Times New Roman" w:hAnsi="Times New Roman" w:eastAsia="Times New Roman"/>
          <w:b w:val="0"/>
          <w:sz w:val="28"/>
        </w:rPr>
        <w:t>Методическая грамотность в курсовой работе оценивается не количеством терминов, а согласованностью: выбранные методы должны соответствовать задачам и доступным данным. Если на объекте нет измерения удовлетворённости клиентов, исследователь обязан либо предложить способ измерения, либо явно ограничить выводы. Подставлять «средний по отрасли» процент без ссылки на источник недопустимо.</w:t>
      </w:r>
    </w:p>
    <w:p>
      <w:pPr>
        <w:spacing w:line="360" w:lineRule="auto"/>
        <w:ind w:firstLine="709"/>
        <w:jc w:val="both"/>
      </w:pPr>
      <w:r>
        <w:rPr>
          <w:rFonts w:ascii="Times New Roman" w:hAnsi="Times New Roman" w:eastAsia="Times New Roman"/>
          <w:b w:val="0"/>
          <w:sz w:val="28"/>
        </w:rPr>
        <w:t>При использовании метода опроса необходимо заранее определить генеральную совокупность (персонал контактной зоны / все сотрудники), способ отбора, анонимность, шкалы и правила обработки. Анкета приложения А спроектирована так, чтобы её результаты можно было сопоставить с таблицей факторов мотивации и с наличием соответствующих стимулов в локальных актах.</w:t>
      </w:r>
    </w:p>
    <w:p>
      <w:pPr>
        <w:spacing w:line="360" w:lineRule="auto"/>
        <w:ind w:firstLine="709"/>
        <w:jc w:val="both"/>
      </w:pPr>
      <w:r>
        <w:rPr>
          <w:rFonts w:ascii="Times New Roman" w:hAnsi="Times New Roman" w:eastAsia="Times New Roman"/>
          <w:b w:val="0"/>
          <w:sz w:val="28"/>
        </w:rPr>
        <w:t>Сравнительный анализ конкурентов в теме мотивации часто упирается в закрытость данных. В этом случае корректно использовать качественные индикаторы: формулировки вакансий, публичные рейтинги работодателей, упоминания бонусов за сервис, наличие программ обучения. Вывод должен быть осторожным: «по открытым признакам конкурент делает акцент на…», а не «конкурент платит на 15 % больше», если нет проверяемого основания.</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sz w:val="32"/>
        </w:rPr>
        <w:t>2 АНАЛИЗ СИСТЕМЫ ТРУДОВОЙ МОТИВАЦИИ ПЕРСОНАЛА КЛИЕНТООРИЕНТИРОВАННОЙ ОРГАНИЗАЦИИ</w:t>
      </w:r>
    </w:p>
    <w:p>
      <w:pPr>
        <w:spacing w:line="360" w:lineRule="auto"/>
        <w:ind w:firstLine="0"/>
        <w:jc w:val="center"/>
      </w:pPr>
      <w:r>
        <w:rPr>
          <w:rFonts w:ascii="Times New Roman" w:hAnsi="Times New Roman" w:eastAsia="Times New Roman"/>
          <w:b/>
          <w:sz w:val="28"/>
        </w:rPr>
        <w:t>2.1 Организационно-экономическая характеристика объекта исследования</w:t>
      </w:r>
    </w:p>
    <w:p>
      <w:pPr>
        <w:spacing w:line="360" w:lineRule="auto"/>
        <w:ind w:firstLine="709"/>
        <w:jc w:val="both"/>
      </w:pPr>
      <w:r>
        <w:rPr>
          <w:rFonts w:ascii="Times New Roman" w:hAnsi="Times New Roman" w:eastAsia="Times New Roman"/>
          <w:b w:val="0"/>
          <w:sz w:val="28"/>
        </w:rPr>
        <w:t>В качестве объекта аналитической части принята типовая клиентоориентированная организация сферы розничных услуг / клиентского сервиса (далее — Организация), работающая на локальном или региональном рынке и имеющая выраженную контактную зону: продавцы-консультанты, специалисты клиентского офиса, операторы поддержки, администраторы зала. Такая рамка соответствует примерной тематике курсовых работ по дисциплине и позволяет сохранить общность выводов для последующей «посадки» на конкретное юридическое лицо.</w:t>
      </w:r>
    </w:p>
    <w:p>
      <w:pPr>
        <w:spacing w:line="360" w:lineRule="auto"/>
        <w:ind w:firstLine="709"/>
        <w:jc w:val="both"/>
      </w:pPr>
      <w:r>
        <w:rPr>
          <w:rFonts w:ascii="Times New Roman" w:hAnsi="Times New Roman" w:eastAsia="Times New Roman"/>
          <w:b w:val="0"/>
          <w:sz w:val="28"/>
        </w:rPr>
        <w:t>Типовые характеристики объекта, которые необходимо подтвердить документами при привязке к реальной фирме:</w:t>
      </w:r>
    </w:p>
    <w:p>
      <w:pPr>
        <w:spacing w:line="360" w:lineRule="auto"/>
        <w:ind w:firstLine="709"/>
        <w:jc w:val="both"/>
      </w:pPr>
      <w:r>
        <w:rPr>
          <w:rFonts w:ascii="Times New Roman" w:hAnsi="Times New Roman" w:eastAsia="Times New Roman"/>
          <w:b w:val="0"/>
          <w:sz w:val="28"/>
        </w:rPr>
        <w:t>– организационно-правовая форма и год создания;</w:t>
      </w:r>
    </w:p>
    <w:p>
      <w:pPr>
        <w:spacing w:line="360" w:lineRule="auto"/>
        <w:ind w:firstLine="709"/>
        <w:jc w:val="both"/>
      </w:pPr>
      <w:r>
        <w:rPr>
          <w:rFonts w:ascii="Times New Roman" w:hAnsi="Times New Roman" w:eastAsia="Times New Roman"/>
          <w:b w:val="0"/>
          <w:sz w:val="28"/>
        </w:rPr>
        <w:t>– основные виды деятельности по ОКВЭД и доля выручки от обслуживания конечных потребителей;</w:t>
      </w:r>
    </w:p>
    <w:p>
      <w:pPr>
        <w:spacing w:line="360" w:lineRule="auto"/>
        <w:ind w:firstLine="709"/>
        <w:jc w:val="both"/>
      </w:pPr>
      <w:r>
        <w:rPr>
          <w:rFonts w:ascii="Times New Roman" w:hAnsi="Times New Roman" w:eastAsia="Times New Roman"/>
          <w:b w:val="0"/>
          <w:sz w:val="28"/>
        </w:rPr>
        <w:t>– численность персонала всего и в подразделениях, работающих с клиентами;</w:t>
      </w:r>
    </w:p>
    <w:p>
      <w:pPr>
        <w:spacing w:line="360" w:lineRule="auto"/>
        <w:ind w:firstLine="709"/>
        <w:jc w:val="both"/>
      </w:pPr>
      <w:r>
        <w:rPr>
          <w:rFonts w:ascii="Times New Roman" w:hAnsi="Times New Roman" w:eastAsia="Times New Roman"/>
          <w:b w:val="0"/>
          <w:sz w:val="28"/>
        </w:rPr>
        <w:t>– наличие службы управления персоналом / ответственного за мотивацию;</w:t>
      </w:r>
    </w:p>
    <w:p>
      <w:pPr>
        <w:spacing w:line="360" w:lineRule="auto"/>
        <w:ind w:firstLine="709"/>
        <w:jc w:val="both"/>
      </w:pPr>
      <w:r>
        <w:rPr>
          <w:rFonts w:ascii="Times New Roman" w:hAnsi="Times New Roman" w:eastAsia="Times New Roman"/>
          <w:b w:val="0"/>
          <w:sz w:val="28"/>
        </w:rPr>
        <w:t>– используемые каналы обслуживания: офлайн-точка, телефон, мессенджеры, сайт;</w:t>
      </w:r>
    </w:p>
    <w:p>
      <w:pPr>
        <w:spacing w:line="360" w:lineRule="auto"/>
        <w:ind w:firstLine="709"/>
        <w:jc w:val="both"/>
      </w:pPr>
      <w:r>
        <w:rPr>
          <w:rFonts w:ascii="Times New Roman" w:hAnsi="Times New Roman" w:eastAsia="Times New Roman"/>
          <w:b w:val="0"/>
          <w:sz w:val="28"/>
        </w:rPr>
        <w:t>– наличие регламентов сервиса, скриптов, стандартов качества обслуживания.</w:t>
      </w:r>
    </w:p>
    <w:p>
      <w:pPr>
        <w:spacing w:line="360" w:lineRule="auto"/>
        <w:ind w:firstLine="709"/>
        <w:jc w:val="both"/>
      </w:pPr>
      <w:r>
        <w:rPr>
          <w:rFonts w:ascii="Times New Roman" w:hAnsi="Times New Roman" w:eastAsia="Times New Roman"/>
          <w:b w:val="0"/>
          <w:sz w:val="28"/>
        </w:rPr>
        <w:t>Экономическая логика объекта в клиентоориентированной модели опирается на повторные покупки и снижение стоимости привлечения за счёт рекомендаций. Поэтому организационно-экономическая характеристика должна включать не только динамику выручки и прибыли, но и индикаторы качества сервиса, если они учитываются. Если организация таких индикаторов не ведёт, это уже аналитический факт: управлять клиентоориентированностью через мотивацию без измерения результата сервиса затруднительно.</w:t>
      </w:r>
    </w:p>
    <w:p>
      <w:pPr>
        <w:spacing w:line="360" w:lineRule="auto"/>
        <w:ind w:firstLine="0"/>
        <w:jc w:val="center"/>
      </w:pPr>
      <w:r>
        <w:rPr>
          <w:rFonts w:ascii="Times New Roman" w:hAnsi="Times New Roman" w:eastAsia="Times New Roman"/>
          <w:b w:val="0"/>
          <w:sz w:val="24"/>
        </w:rPr>
        <w:t>Таблица 4 – Каркас организационно-экономической характеристики (для заполнения по объекту)</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Times New Roman"/>
                <w:b/>
                <w:sz w:val="20"/>
              </w:rPr>
              <w:t>Показатель</w:t>
            </w:r>
          </w:p>
        </w:tc>
        <w:tc>
          <w:tcPr>
            <w:tcW w:type="dxa" w:w="1871"/>
          </w:tcPr>
          <w:p>
            <w:r/>
            <w:r>
              <w:rPr>
                <w:rFonts w:ascii="Times New Roman" w:hAnsi="Times New Roman" w:eastAsia="Times New Roman"/>
                <w:b/>
                <w:sz w:val="20"/>
              </w:rPr>
              <w:t>Период 1</w:t>
            </w:r>
          </w:p>
        </w:tc>
        <w:tc>
          <w:tcPr>
            <w:tcW w:type="dxa" w:w="1871"/>
          </w:tcPr>
          <w:p>
            <w:r/>
            <w:r>
              <w:rPr>
                <w:rFonts w:ascii="Times New Roman" w:hAnsi="Times New Roman" w:eastAsia="Times New Roman"/>
                <w:b/>
                <w:sz w:val="20"/>
              </w:rPr>
              <w:t>Период 2</w:t>
            </w:r>
          </w:p>
        </w:tc>
        <w:tc>
          <w:tcPr>
            <w:tcW w:type="dxa" w:w="1871"/>
          </w:tcPr>
          <w:p>
            <w:r/>
            <w:r>
              <w:rPr>
                <w:rFonts w:ascii="Times New Roman" w:hAnsi="Times New Roman" w:eastAsia="Times New Roman"/>
                <w:b/>
                <w:sz w:val="20"/>
              </w:rPr>
              <w:t>Период 3</w:t>
            </w:r>
          </w:p>
        </w:tc>
        <w:tc>
          <w:tcPr>
            <w:tcW w:type="dxa" w:w="1871"/>
          </w:tcPr>
          <w:p>
            <w:r/>
            <w:r>
              <w:rPr>
                <w:rFonts w:ascii="Times New Roman" w:hAnsi="Times New Roman" w:eastAsia="Times New Roman"/>
                <w:b/>
                <w:sz w:val="20"/>
              </w:rPr>
              <w:t>Комментарий</w:t>
            </w:r>
          </w:p>
        </w:tc>
      </w:tr>
      <w:tr>
        <w:tc>
          <w:tcPr>
            <w:tcW w:type="dxa" w:w="1871"/>
          </w:tcPr>
          <w:p>
            <w:r/>
            <w:r>
              <w:rPr>
                <w:rFonts w:ascii="Times New Roman" w:hAnsi="Times New Roman" w:eastAsia="Times New Roman"/>
                <w:b w:val="0"/>
                <w:sz w:val="20"/>
              </w:rPr>
              <w:t>Выручка</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Из отчётности объекта</w:t>
            </w:r>
          </w:p>
        </w:tc>
      </w:tr>
      <w:tr>
        <w:tc>
          <w:tcPr>
            <w:tcW w:type="dxa" w:w="1871"/>
          </w:tcPr>
          <w:p>
            <w:r/>
            <w:r>
              <w:rPr>
                <w:rFonts w:ascii="Times New Roman" w:hAnsi="Times New Roman" w:eastAsia="Times New Roman"/>
                <w:b w:val="0"/>
                <w:sz w:val="20"/>
              </w:rPr>
              <w:t>Численность персонала</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Всего / контактная зона</w:t>
            </w:r>
          </w:p>
        </w:tc>
      </w:tr>
      <w:tr>
        <w:tc>
          <w:tcPr>
            <w:tcW w:type="dxa" w:w="1871"/>
          </w:tcPr>
          <w:p>
            <w:r/>
            <w:r>
              <w:rPr>
                <w:rFonts w:ascii="Times New Roman" w:hAnsi="Times New Roman" w:eastAsia="Times New Roman"/>
                <w:b w:val="0"/>
                <w:sz w:val="20"/>
              </w:rPr>
              <w:t>Текучесть в контактной зоне, %</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Кадровая служба</w:t>
            </w:r>
          </w:p>
        </w:tc>
      </w:tr>
      <w:tr>
        <w:tc>
          <w:tcPr>
            <w:tcW w:type="dxa" w:w="1871"/>
          </w:tcPr>
          <w:p>
            <w:r/>
            <w:r>
              <w:rPr>
                <w:rFonts w:ascii="Times New Roman" w:hAnsi="Times New Roman" w:eastAsia="Times New Roman"/>
                <w:b w:val="0"/>
                <w:sz w:val="20"/>
              </w:rPr>
              <w:t>Число обоснованных жалоб</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Сервис / качество</w:t>
            </w:r>
          </w:p>
        </w:tc>
      </w:tr>
      <w:tr>
        <w:tc>
          <w:tcPr>
            <w:tcW w:type="dxa" w:w="1871"/>
          </w:tcPr>
          <w:p>
            <w:r/>
            <w:r>
              <w:rPr>
                <w:rFonts w:ascii="Times New Roman" w:hAnsi="Times New Roman" w:eastAsia="Times New Roman"/>
                <w:b w:val="0"/>
                <w:sz w:val="20"/>
              </w:rPr>
              <w:t>Индекс удовлетворённости клиентов</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Если измеряется</w:t>
            </w:r>
          </w:p>
        </w:tc>
      </w:tr>
      <w:tr>
        <w:tc>
          <w:tcPr>
            <w:tcW w:type="dxa" w:w="1871"/>
          </w:tcPr>
          <w:p>
            <w:r/>
            <w:r>
              <w:rPr>
                <w:rFonts w:ascii="Times New Roman" w:hAnsi="Times New Roman" w:eastAsia="Times New Roman"/>
                <w:b w:val="0"/>
                <w:sz w:val="20"/>
              </w:rPr>
              <w:t>Доля переменной части в доходе продавца</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w:t>
            </w:r>
          </w:p>
        </w:tc>
        <w:tc>
          <w:tcPr>
            <w:tcW w:type="dxa" w:w="1871"/>
          </w:tcPr>
          <w:p>
            <w:r/>
            <w:r>
              <w:rPr>
                <w:rFonts w:ascii="Times New Roman" w:hAnsi="Times New Roman" w:eastAsia="Times New Roman"/>
                <w:b w:val="0"/>
                <w:sz w:val="20"/>
              </w:rPr>
              <w:t>Положение об оплате</w:t>
            </w:r>
          </w:p>
        </w:tc>
      </w:tr>
    </w:tbl>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Пока таблица 4 не заполнена данными конкретного предприятия, количественные утверждения о «росте на N %» или «текучести M %» в текст не вводятся. Это сознательное ограничение, аналогичное принципу не подменять отсутствующие измерения вымышленными результатами.</w:t>
      </w:r>
    </w:p>
    <w:p>
      <w:pPr>
        <w:spacing w:line="360" w:lineRule="auto"/>
        <w:ind w:firstLine="709"/>
        <w:jc w:val="both"/>
      </w:pPr>
      <w:r>
        <w:rPr>
          <w:rFonts w:ascii="Times New Roman" w:hAnsi="Times New Roman" w:eastAsia="Times New Roman"/>
          <w:b w:val="0"/>
          <w:sz w:val="28"/>
        </w:rPr>
        <w:t>Организационная структура влияет на мотивацию через длину цепочки согласований и ясность ответственности за клиента. В чрезмерно фрагментированной структуре сотрудник первой линии становится «передатчиком заявок», а не решателем проблем. Мотивировать такое поведение лозунгами сервиса бессмысленно: сначала нужно упростить контур решения.</w:t>
      </w:r>
    </w:p>
    <w:p>
      <w:pPr>
        <w:spacing w:line="360" w:lineRule="auto"/>
        <w:ind w:firstLine="709"/>
        <w:jc w:val="both"/>
      </w:pPr>
      <w:r>
        <w:rPr>
          <w:rFonts w:ascii="Times New Roman" w:hAnsi="Times New Roman" w:eastAsia="Times New Roman"/>
          <w:b w:val="0"/>
          <w:sz w:val="28"/>
        </w:rPr>
        <w:t>Экономическая характеристика должна ответить и на вопрос о ресурсах изменений. Если фонд оплаты труда жёстко ограничен, акцент главы 3 смещается на перераспределение переменной части, нематериальные стимулы и снижение потерь от текучести. Если организация инвестирует в рост сервиса, допустимы пилотные фонды обучения и фонд полномочий на компенсацию.</w:t>
      </w:r>
    </w:p>
    <w:p>
      <w:pPr>
        <w:spacing w:line="360" w:lineRule="auto"/>
        <w:ind w:firstLine="709"/>
        <w:jc w:val="both"/>
      </w:pPr>
      <w:r>
        <w:rPr>
          <w:rFonts w:ascii="Times New Roman" w:hAnsi="Times New Roman" w:eastAsia="Times New Roman"/>
          <w:b w:val="0"/>
          <w:sz w:val="28"/>
        </w:rPr>
        <w:t>При отсутствии доступа к внутренней отчётности исследователь фиксирует ограничение и переходит к анализу типовых механизмов. Это снижает точность численных оценок, но сохраняет ценность структурных выводов. В сильной курсовой работе ограничение данных объявляется прямо, а не маскируется правдоподобными, но вымышленными таблицами.</w:t>
      </w:r>
    </w:p>
    <w:p>
      <w:pPr>
        <w:spacing w:line="360" w:lineRule="auto"/>
        <w:ind w:firstLine="0"/>
        <w:jc w:val="center"/>
      </w:pPr>
      <w:r>
        <w:rPr>
          <w:rFonts w:ascii="Times New Roman" w:hAnsi="Times New Roman" w:eastAsia="Times New Roman"/>
          <w:b/>
          <w:sz w:val="28"/>
        </w:rPr>
        <w:t>2.2 Анализ потребителей, конкурентов и требований к персоналу на рынке</w:t>
      </w:r>
    </w:p>
    <w:p>
      <w:pPr>
        <w:spacing w:line="360" w:lineRule="auto"/>
        <w:ind w:firstLine="709"/>
        <w:jc w:val="both"/>
      </w:pPr>
      <w:r>
        <w:rPr>
          <w:rFonts w:ascii="Times New Roman" w:hAnsi="Times New Roman" w:eastAsia="Times New Roman"/>
          <w:b w:val="0"/>
          <w:sz w:val="28"/>
        </w:rPr>
        <w:t>Потребители клиентоориентированной организации ожидают не только товар или услугу, но и предсказуемый опыт взаимодействия. В терминах маркетинга отношений ценность создаётся продолжительным контактом [7]. Для персонала это означает набор ролевых требований: компетентность, эмпатия, инициатива в решении проблемы, соблюдение обещаний бренда.</w:t>
      </w:r>
    </w:p>
    <w:p>
      <w:pPr>
        <w:spacing w:line="360" w:lineRule="auto"/>
        <w:ind w:firstLine="709"/>
        <w:jc w:val="both"/>
      </w:pPr>
      <w:r>
        <w:rPr>
          <w:rFonts w:ascii="Times New Roman" w:hAnsi="Times New Roman" w:eastAsia="Times New Roman"/>
          <w:b w:val="0"/>
          <w:sz w:val="28"/>
        </w:rPr>
        <w:t>Сегментация потребителей для целей мотивации персонала нужна не ради маркетингового отчёта как такового, а чтобы понять, разные ли стандарты сервиса требуются для разных сегментов. Например, сегмент «первичное обращение» чувствителен к скорости и ясности объяснения; сегмент «постоянный клиент» — к персонализации и признанию статуса; сегмент «претензия» — к полномочиям сотрудника быстро компенсировать сбой. Если система мотивации одинаково давит только на продажи, сегмент претензий будет обслуживаться формально.</w:t>
      </w:r>
    </w:p>
    <w:p>
      <w:pPr>
        <w:spacing w:line="360" w:lineRule="auto"/>
        <w:ind w:firstLine="0"/>
        <w:jc w:val="center"/>
      </w:pPr>
      <w:r>
        <w:rPr>
          <w:rFonts w:ascii="Times New Roman" w:hAnsi="Times New Roman" w:eastAsia="Times New Roman"/>
          <w:b w:val="0"/>
          <w:sz w:val="24"/>
        </w:rPr>
        <w:t>Таблица 5 – Связь сегментов потребителей с требованиями к мотивам персонала</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r/>
            <w:r>
              <w:rPr>
                <w:rFonts w:ascii="Times New Roman" w:hAnsi="Times New Roman" w:eastAsia="Times New Roman"/>
                <w:b/>
                <w:sz w:val="20"/>
              </w:rPr>
              <w:t>Сегмент потребителя</w:t>
            </w:r>
          </w:p>
        </w:tc>
        <w:tc>
          <w:tcPr>
            <w:tcW w:type="dxa" w:w="3118"/>
          </w:tcPr>
          <w:p>
            <w:r/>
            <w:r>
              <w:rPr>
                <w:rFonts w:ascii="Times New Roman" w:hAnsi="Times New Roman" w:eastAsia="Times New Roman"/>
                <w:b/>
                <w:sz w:val="20"/>
              </w:rPr>
              <w:t>Критическое поведение сотрудника</w:t>
            </w:r>
          </w:p>
        </w:tc>
        <w:tc>
          <w:tcPr>
            <w:tcW w:type="dxa" w:w="3118"/>
          </w:tcPr>
          <w:p>
            <w:r/>
            <w:r>
              <w:rPr>
                <w:rFonts w:ascii="Times New Roman" w:hAnsi="Times New Roman" w:eastAsia="Times New Roman"/>
                <w:b/>
                <w:sz w:val="20"/>
              </w:rPr>
              <w:t>Какой мотив нужно усилить</w:t>
            </w:r>
          </w:p>
        </w:tc>
      </w:tr>
      <w:tr>
        <w:tc>
          <w:tcPr>
            <w:tcW w:type="dxa" w:w="3118"/>
          </w:tcPr>
          <w:p>
            <w:r/>
            <w:r>
              <w:rPr>
                <w:rFonts w:ascii="Times New Roman" w:hAnsi="Times New Roman" w:eastAsia="Times New Roman"/>
                <w:b w:val="0"/>
                <w:sz w:val="20"/>
              </w:rPr>
              <w:t>Новый клиент</w:t>
            </w:r>
          </w:p>
        </w:tc>
        <w:tc>
          <w:tcPr>
            <w:tcW w:type="dxa" w:w="3118"/>
          </w:tcPr>
          <w:p>
            <w:r/>
            <w:r>
              <w:rPr>
                <w:rFonts w:ascii="Times New Roman" w:hAnsi="Times New Roman" w:eastAsia="Times New Roman"/>
                <w:b w:val="0"/>
                <w:sz w:val="20"/>
              </w:rPr>
              <w:t>Понятное объяснение, помощь в выборе</w:t>
            </w:r>
          </w:p>
        </w:tc>
        <w:tc>
          <w:tcPr>
            <w:tcW w:type="dxa" w:w="3118"/>
          </w:tcPr>
          <w:p>
            <w:r/>
            <w:r>
              <w:rPr>
                <w:rFonts w:ascii="Times New Roman" w:hAnsi="Times New Roman" w:eastAsia="Times New Roman"/>
                <w:b w:val="0"/>
                <w:sz w:val="20"/>
              </w:rPr>
              <w:t>Компетентность, признание качества консультации</w:t>
            </w:r>
          </w:p>
        </w:tc>
      </w:tr>
      <w:tr>
        <w:tc>
          <w:tcPr>
            <w:tcW w:type="dxa" w:w="3118"/>
          </w:tcPr>
          <w:p>
            <w:r/>
            <w:r>
              <w:rPr>
                <w:rFonts w:ascii="Times New Roman" w:hAnsi="Times New Roman" w:eastAsia="Times New Roman"/>
                <w:b w:val="0"/>
                <w:sz w:val="20"/>
              </w:rPr>
              <w:t>Постоянный клиент</w:t>
            </w:r>
          </w:p>
        </w:tc>
        <w:tc>
          <w:tcPr>
            <w:tcW w:type="dxa" w:w="3118"/>
          </w:tcPr>
          <w:p>
            <w:r/>
            <w:r>
              <w:rPr>
                <w:rFonts w:ascii="Times New Roman" w:hAnsi="Times New Roman" w:eastAsia="Times New Roman"/>
                <w:b w:val="0"/>
                <w:sz w:val="20"/>
              </w:rPr>
              <w:t>Персонализация, проактивность</w:t>
            </w:r>
          </w:p>
        </w:tc>
        <w:tc>
          <w:tcPr>
            <w:tcW w:type="dxa" w:w="3118"/>
          </w:tcPr>
          <w:p>
            <w:r/>
            <w:r>
              <w:rPr>
                <w:rFonts w:ascii="Times New Roman" w:hAnsi="Times New Roman" w:eastAsia="Times New Roman"/>
                <w:b w:val="0"/>
                <w:sz w:val="20"/>
              </w:rPr>
              <w:t>Принадлежность, ответственность за отношения</w:t>
            </w:r>
          </w:p>
        </w:tc>
      </w:tr>
      <w:tr>
        <w:tc>
          <w:tcPr>
            <w:tcW w:type="dxa" w:w="3118"/>
          </w:tcPr>
          <w:p>
            <w:r/>
            <w:r>
              <w:rPr>
                <w:rFonts w:ascii="Times New Roman" w:hAnsi="Times New Roman" w:eastAsia="Times New Roman"/>
                <w:b w:val="0"/>
                <w:sz w:val="20"/>
              </w:rPr>
              <w:t>Клиент с претензией</w:t>
            </w:r>
          </w:p>
        </w:tc>
        <w:tc>
          <w:tcPr>
            <w:tcW w:type="dxa" w:w="3118"/>
          </w:tcPr>
          <w:p>
            <w:r/>
            <w:r>
              <w:rPr>
                <w:rFonts w:ascii="Times New Roman" w:hAnsi="Times New Roman" w:eastAsia="Times New Roman"/>
                <w:b w:val="0"/>
                <w:sz w:val="20"/>
              </w:rPr>
              <w:t>Быстрое решение, честность</w:t>
            </w:r>
          </w:p>
        </w:tc>
        <w:tc>
          <w:tcPr>
            <w:tcW w:type="dxa" w:w="3118"/>
          </w:tcPr>
          <w:p>
            <w:r/>
            <w:r>
              <w:rPr>
                <w:rFonts w:ascii="Times New Roman" w:hAnsi="Times New Roman" w:eastAsia="Times New Roman"/>
                <w:b w:val="0"/>
                <w:sz w:val="20"/>
              </w:rPr>
              <w:t>Полномочия + защита от наказания за эскалацию</w:t>
            </w:r>
          </w:p>
        </w:tc>
      </w:tr>
      <w:tr>
        <w:tc>
          <w:tcPr>
            <w:tcW w:type="dxa" w:w="3118"/>
          </w:tcPr>
          <w:p>
            <w:r/>
            <w:r>
              <w:rPr>
                <w:rFonts w:ascii="Times New Roman" w:hAnsi="Times New Roman" w:eastAsia="Times New Roman"/>
                <w:b w:val="0"/>
                <w:sz w:val="20"/>
              </w:rPr>
              <w:t>Цифровой клиент</w:t>
            </w:r>
          </w:p>
        </w:tc>
        <w:tc>
          <w:tcPr>
            <w:tcW w:type="dxa" w:w="3118"/>
          </w:tcPr>
          <w:p>
            <w:r/>
            <w:r>
              <w:rPr>
                <w:rFonts w:ascii="Times New Roman" w:hAnsi="Times New Roman" w:eastAsia="Times New Roman"/>
                <w:b w:val="0"/>
                <w:sz w:val="20"/>
              </w:rPr>
              <w:t>Грамотность в каналах, скорость ответа</w:t>
            </w:r>
          </w:p>
        </w:tc>
        <w:tc>
          <w:tcPr>
            <w:tcW w:type="dxa" w:w="3118"/>
          </w:tcPr>
          <w:p>
            <w:r/>
            <w:r>
              <w:rPr>
                <w:rFonts w:ascii="Times New Roman" w:hAnsi="Times New Roman" w:eastAsia="Times New Roman"/>
                <w:b w:val="0"/>
                <w:sz w:val="20"/>
              </w:rPr>
              <w:t>Обучение, удобные инструменты, справедливая нагрузка</w:t>
            </w:r>
          </w:p>
        </w:tc>
      </w:tr>
    </w:tbl>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Конкурентный анализ в курсовой по данной теме должен отвечать на вопрос: чем конкуренты удерживают персонал контактной зоны и как они стимулируют сервис. Сравнивать следует не «бренд вообще», а практики: доля бонуса за качество обслуживания, программы признания, обучение, гибкость графика, нагрузка на сотрудника. Источники — открытые вакансии, отзывы сотрудников на публичных площадках, отраслевые обзоры, интервью. Без проверки этих источников нельзя утверждать, что «у конкурента мотивация лучше».</w:t>
      </w:r>
    </w:p>
    <w:p>
      <w:pPr>
        <w:spacing w:line="360" w:lineRule="auto"/>
        <w:ind w:firstLine="709"/>
        <w:jc w:val="both"/>
      </w:pPr>
      <w:r>
        <w:rPr>
          <w:rFonts w:ascii="Times New Roman" w:hAnsi="Times New Roman" w:eastAsia="Times New Roman"/>
          <w:b w:val="0"/>
          <w:sz w:val="28"/>
        </w:rPr>
        <w:t>Практический вывод раздела: требования рынка к персоналу клиентоориентированной организации шире, чем требования к исполнению плана продаж. Значит, система мотивации, построенная только вокруг объёмных показателей, содержит структурный риск для клиентоориентированности.</w:t>
      </w:r>
    </w:p>
    <w:p>
      <w:pPr>
        <w:spacing w:line="360" w:lineRule="auto"/>
        <w:ind w:firstLine="709"/>
        <w:jc w:val="both"/>
      </w:pPr>
      <w:r>
        <w:rPr>
          <w:rFonts w:ascii="Times New Roman" w:hAnsi="Times New Roman" w:eastAsia="Times New Roman"/>
          <w:b w:val="0"/>
          <w:sz w:val="28"/>
        </w:rPr>
        <w:t>В качестве иллюстрации рыночного давления можно описать типичный сценарий. Клиент сравнивает не только цену, но и скорость ответа, ясность условий и готовность исправить ошибку. Конкурент, который стимулирует сотрудников за решение вопроса с первого обращения, получает преимущество в повторных покупках. Организация, которая стимулирует только количество контактов, может выигрывать в краткосрочной выработке и проигрывать в жизненной ценности клиента.</w:t>
      </w:r>
    </w:p>
    <w:p>
      <w:pPr>
        <w:spacing w:line="360" w:lineRule="auto"/>
        <w:ind w:firstLine="709"/>
        <w:jc w:val="both"/>
      </w:pPr>
      <w:r>
        <w:rPr>
          <w:rFonts w:ascii="Times New Roman" w:hAnsi="Times New Roman" w:eastAsia="Times New Roman"/>
          <w:b w:val="0"/>
          <w:sz w:val="28"/>
        </w:rPr>
        <w:t>Этот сценарий не является статистическим доказательством по конкретному бренду. Он задаёт аналитическую линзу: любые наблюдаемые практики конкурентов и отзывы потребителей следует читать через вопрос «какое поведение персонала здесь вознаграждается?».</w:t>
      </w:r>
    </w:p>
    <w:p>
      <w:pPr>
        <w:spacing w:line="360" w:lineRule="auto"/>
        <w:ind w:firstLine="709"/>
        <w:jc w:val="both"/>
      </w:pPr>
      <w:r>
        <w:rPr>
          <w:rFonts w:ascii="Times New Roman" w:hAnsi="Times New Roman" w:eastAsia="Times New Roman"/>
          <w:b w:val="0"/>
          <w:sz w:val="28"/>
        </w:rPr>
        <w:t>Анализ потребителей полезно дополнять картой точек контакта: до покупки, в момент покупки, после покупки, при претензии, при повторном обращении. На каждой точке свой «правильный» вклад сотрудника и свой риск демотивации. Например, на точке претензии демотивирует отсутствие права извиниться и предложить компенсацию в лимите; на точке консультации — давление закрыть продажу любой ценой.</w:t>
      </w:r>
    </w:p>
    <w:p>
      <w:pPr>
        <w:spacing w:line="360" w:lineRule="auto"/>
        <w:ind w:firstLine="709"/>
        <w:jc w:val="both"/>
      </w:pPr>
      <w:r>
        <w:rPr>
          <w:rFonts w:ascii="Times New Roman" w:hAnsi="Times New Roman" w:eastAsia="Times New Roman"/>
          <w:b w:val="0"/>
          <w:sz w:val="28"/>
        </w:rPr>
        <w:t>Конкурентный контур связан с рынком труда не меньше, чем с рынком сбыта. Если конкуренты предлагают более предсказуемый график и менее токсичную культуру выполнения плана, организация будет терять именно тех сотрудников, которые лучше всего умеют работать с клиентом. Тогда система мотивации должна решать задачу удержания ключевых носителей сервисной компетенции.</w:t>
      </w:r>
    </w:p>
    <w:p>
      <w:pPr>
        <w:spacing w:line="360" w:lineRule="auto"/>
        <w:ind w:firstLine="709"/>
        <w:jc w:val="both"/>
      </w:pPr>
      <w:r>
        <w:rPr>
          <w:rFonts w:ascii="Times New Roman" w:hAnsi="Times New Roman" w:eastAsia="Times New Roman"/>
          <w:b w:val="0"/>
          <w:sz w:val="28"/>
        </w:rPr>
        <w:t>Требования к персоналу следует формулировать в наблюдаемых действиях: что сотрудник говорит, какие вопросы задаёт, как фиксирует договорённость, как завершает контакт. Такая операционализация нужна и для обучения, и для премирования, и для признания. Без неё клиентоориентированность остаётся оценочным суждением руководителя.</w:t>
      </w:r>
    </w:p>
    <w:p>
      <w:pPr>
        <w:spacing w:line="360" w:lineRule="auto"/>
        <w:ind w:firstLine="0"/>
        <w:jc w:val="center"/>
      </w:pPr>
      <w:r>
        <w:rPr>
          <w:rFonts w:ascii="Times New Roman" w:hAnsi="Times New Roman" w:eastAsia="Times New Roman"/>
          <w:b/>
          <w:sz w:val="28"/>
        </w:rPr>
        <w:t>2.3 Анализ системы трудовой мотивации в логике клиентоориентированности</w:t>
      </w:r>
    </w:p>
    <w:p>
      <w:pPr>
        <w:spacing w:line="360" w:lineRule="auto"/>
        <w:ind w:firstLine="709"/>
        <w:jc w:val="both"/>
      </w:pPr>
      <w:r>
        <w:rPr>
          <w:rFonts w:ascii="Times New Roman" w:hAnsi="Times New Roman" w:eastAsia="Times New Roman"/>
          <w:b w:val="0"/>
          <w:sz w:val="28"/>
        </w:rPr>
        <w:t>Типовая система мотивации в организациях клиентского сервиса часто включает: оклад; премию за выполнение плана продаж или количества обработанных обращений; отдельные выплаты за соблюдение дисциплины; ограниченный социальный пакет; эпизодическое обучение. Нематериальные стимулы (публичное признание эталонного сервиса, участие в улучшении стандартов, прозрачная карьера) либо слабы, либо не связаны с клиентскими метриками.</w:t>
      </w:r>
    </w:p>
    <w:p>
      <w:pPr>
        <w:spacing w:line="360" w:lineRule="auto"/>
        <w:ind w:firstLine="709"/>
        <w:jc w:val="both"/>
      </w:pPr>
      <w:r>
        <w:rPr>
          <w:rFonts w:ascii="Times New Roman" w:hAnsi="Times New Roman" w:eastAsia="Times New Roman"/>
          <w:b w:val="0"/>
          <w:sz w:val="28"/>
        </w:rPr>
        <w:t>Сопоставление с теоретической рамкой главы 1 позволяет выделить типовые разрывы.</w:t>
      </w:r>
    </w:p>
    <w:p>
      <w:pPr>
        <w:spacing w:line="360" w:lineRule="auto"/>
        <w:ind w:firstLine="709"/>
        <w:jc w:val="both"/>
      </w:pPr>
      <w:r>
        <w:rPr>
          <w:rFonts w:ascii="Times New Roman" w:hAnsi="Times New Roman" w:eastAsia="Times New Roman"/>
          <w:b w:val="0"/>
          <w:sz w:val="28"/>
        </w:rPr>
        <w:t>Разрыв 1. Декларация клиентоориентированности при KPI, которые наказывают за время, потраченное на сложного клиента.</w:t>
      </w:r>
    </w:p>
    <w:p>
      <w:pPr>
        <w:spacing w:line="360" w:lineRule="auto"/>
        <w:ind w:firstLine="709"/>
        <w:jc w:val="both"/>
      </w:pPr>
      <w:r>
        <w:rPr>
          <w:rFonts w:ascii="Times New Roman" w:hAnsi="Times New Roman" w:eastAsia="Times New Roman"/>
          <w:b w:val="0"/>
          <w:sz w:val="28"/>
        </w:rPr>
        <w:t>Разрыв 2. Премия за продажи без учёта качества консультации и последующих жалоб.</w:t>
      </w:r>
    </w:p>
    <w:p>
      <w:pPr>
        <w:spacing w:line="360" w:lineRule="auto"/>
        <w:ind w:firstLine="709"/>
        <w:jc w:val="both"/>
      </w:pPr>
      <w:r>
        <w:rPr>
          <w:rFonts w:ascii="Times New Roman" w:hAnsi="Times New Roman" w:eastAsia="Times New Roman"/>
          <w:b w:val="0"/>
          <w:sz w:val="28"/>
        </w:rPr>
        <w:t>Разрыв 3. Отсутствие полномочий у контактного сотрудника при одновременном требовании «решить вопрос клиента».</w:t>
      </w:r>
    </w:p>
    <w:p>
      <w:pPr>
        <w:spacing w:line="360" w:lineRule="auto"/>
        <w:ind w:firstLine="709"/>
        <w:jc w:val="both"/>
      </w:pPr>
      <w:r>
        <w:rPr>
          <w:rFonts w:ascii="Times New Roman" w:hAnsi="Times New Roman" w:eastAsia="Times New Roman"/>
          <w:b w:val="0"/>
          <w:sz w:val="28"/>
        </w:rPr>
        <w:t>Разрыв 4. Слабая обратная связь руководителя, хотя мотивирующее поведение руководителя связано с ориентацией на клиента [9].</w:t>
      </w:r>
    </w:p>
    <w:p>
      <w:pPr>
        <w:spacing w:line="360" w:lineRule="auto"/>
        <w:ind w:firstLine="709"/>
        <w:jc w:val="both"/>
      </w:pPr>
      <w:r>
        <w:rPr>
          <w:rFonts w:ascii="Times New Roman" w:hAnsi="Times New Roman" w:eastAsia="Times New Roman"/>
          <w:b w:val="0"/>
          <w:sz w:val="28"/>
        </w:rPr>
        <w:t>Разрыв 5. Обучение сервису проводится разово и не закрепляется стимулами.</w:t>
      </w:r>
    </w:p>
    <w:p>
      <w:pPr>
        <w:spacing w:line="360" w:lineRule="auto"/>
        <w:ind w:firstLine="709"/>
        <w:jc w:val="both"/>
      </w:pPr>
      <w:r>
        <w:rPr>
          <w:rFonts w:ascii="Times New Roman" w:hAnsi="Times New Roman" w:eastAsia="Times New Roman"/>
          <w:b w:val="0"/>
          <w:sz w:val="28"/>
        </w:rPr>
        <w:t>Разрыв 6. Оценка персонала не включает валидные индикаторы клиентоориентированности [8; 10].</w:t>
      </w:r>
    </w:p>
    <w:p>
      <w:pPr>
        <w:spacing w:line="360" w:lineRule="auto"/>
        <w:ind w:firstLine="709"/>
        <w:jc w:val="both"/>
      </w:pPr>
      <w:r>
        <w:rPr>
          <w:rFonts w:ascii="Times New Roman" w:hAnsi="Times New Roman" w:eastAsia="Times New Roman"/>
          <w:b w:val="0"/>
          <w:sz w:val="28"/>
        </w:rPr>
        <w:t>Опубликованные исследования дают ориентиры для гипотез, которые проверяются на объекте. Л. С. Домашенко показывает значимость связи инструментов мотивации и поведения руководителя с клиентоориентированностью сотрудников, работающих с клиентами [9]. Т. Р. Романов на материале банковской сферы обосновывает комплексную методику оценки клиентоориентированности и построение вознаграждения по категориям работников, отмечая недостатки систем, которые слабо стимулируют желаемый вид клиентоориентированности [10]. В исследовании В. Ю. Забродиной и соавторов по результатам анкетирования 61 сотрудника современнных организаций подтверждена высокая значимость оплаты и условий труда при одновременной важности обучения, карьеры и отношений с руководством [11].</w:t>
      </w:r>
    </w:p>
    <w:p>
      <w:pPr>
        <w:spacing w:line="360" w:lineRule="auto"/>
        <w:ind w:firstLine="709"/>
        <w:jc w:val="both"/>
      </w:pPr>
      <w:r>
        <w:rPr>
          <w:rFonts w:ascii="Times New Roman" w:hAnsi="Times New Roman" w:eastAsia="Times New Roman"/>
          <w:b w:val="0"/>
          <w:sz w:val="28"/>
        </w:rPr>
        <w:t>Для конкретного предприятия проверка гипотез выполняется анкетой приложения А. До проведения опроса допустимы только качественные выводы о рисках типовой системы. После опроса заполняется таблица 6.</w:t>
      </w:r>
    </w:p>
    <w:p>
      <w:pPr>
        <w:spacing w:line="360" w:lineRule="auto"/>
        <w:ind w:firstLine="0"/>
        <w:jc w:val="center"/>
      </w:pPr>
      <w:r>
        <w:rPr>
          <w:rFonts w:ascii="Times New Roman" w:hAnsi="Times New Roman" w:eastAsia="Times New Roman"/>
          <w:b w:val="0"/>
          <w:sz w:val="24"/>
        </w:rPr>
        <w:t>Таблица 6 – Профиль значимости факторов мотивации (заполняется по анкете)</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eastAsia="Times New Roman"/>
                <w:b/>
                <w:sz w:val="20"/>
              </w:rPr>
              <w:t>Фактор</w:t>
            </w:r>
          </w:p>
        </w:tc>
        <w:tc>
          <w:tcPr>
            <w:tcW w:type="dxa" w:w="2339"/>
          </w:tcPr>
          <w:p>
            <w:r/>
            <w:r>
              <w:rPr>
                <w:rFonts w:ascii="Times New Roman" w:hAnsi="Times New Roman" w:eastAsia="Times New Roman"/>
                <w:b/>
                <w:sz w:val="20"/>
              </w:rPr>
              <w:t>Средний балл (1–5)</w:t>
            </w:r>
          </w:p>
        </w:tc>
        <w:tc>
          <w:tcPr>
            <w:tcW w:type="dxa" w:w="2339"/>
          </w:tcPr>
          <w:p>
            <w:r/>
            <w:r>
              <w:rPr>
                <w:rFonts w:ascii="Times New Roman" w:hAnsi="Times New Roman" w:eastAsia="Times New Roman"/>
                <w:b/>
                <w:sz w:val="20"/>
              </w:rPr>
              <w:t>Место в рейтинге</w:t>
            </w:r>
          </w:p>
        </w:tc>
        <w:tc>
          <w:tcPr>
            <w:tcW w:type="dxa" w:w="2339"/>
          </w:tcPr>
          <w:p>
            <w:r/>
            <w:r>
              <w:rPr>
                <w:rFonts w:ascii="Times New Roman" w:hAnsi="Times New Roman" w:eastAsia="Times New Roman"/>
                <w:b/>
                <w:sz w:val="20"/>
              </w:rPr>
              <w:t>Учтён ли в текущей системе?</w:t>
            </w:r>
          </w:p>
        </w:tc>
      </w:tr>
      <w:tr>
        <w:tc>
          <w:tcPr>
            <w:tcW w:type="dxa" w:w="2339"/>
          </w:tcPr>
          <w:p>
            <w:r/>
            <w:r>
              <w:rPr>
                <w:rFonts w:ascii="Times New Roman" w:hAnsi="Times New Roman" w:eastAsia="Times New Roman"/>
                <w:b w:val="0"/>
                <w:sz w:val="20"/>
              </w:rPr>
              <w:t>Уровень оплаты труда</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r>
      <w:tr>
        <w:tc>
          <w:tcPr>
            <w:tcW w:type="dxa" w:w="2339"/>
          </w:tcPr>
          <w:p>
            <w:r/>
            <w:r>
              <w:rPr>
                <w:rFonts w:ascii="Times New Roman" w:hAnsi="Times New Roman" w:eastAsia="Times New Roman"/>
                <w:b w:val="0"/>
                <w:sz w:val="20"/>
              </w:rPr>
              <w:t>Справедливость премирования</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r>
      <w:tr>
        <w:tc>
          <w:tcPr>
            <w:tcW w:type="dxa" w:w="2339"/>
          </w:tcPr>
          <w:p>
            <w:r/>
            <w:r>
              <w:rPr>
                <w:rFonts w:ascii="Times New Roman" w:hAnsi="Times New Roman" w:eastAsia="Times New Roman"/>
                <w:b w:val="0"/>
                <w:sz w:val="20"/>
              </w:rPr>
              <w:t>Условия и организация труда</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r>
      <w:tr>
        <w:tc>
          <w:tcPr>
            <w:tcW w:type="dxa" w:w="2339"/>
          </w:tcPr>
          <w:p>
            <w:r/>
            <w:r>
              <w:rPr>
                <w:rFonts w:ascii="Times New Roman" w:hAnsi="Times New Roman" w:eastAsia="Times New Roman"/>
                <w:b w:val="0"/>
                <w:sz w:val="20"/>
              </w:rPr>
              <w:t>Отношения с руководителем</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r>
      <w:tr>
        <w:tc>
          <w:tcPr>
            <w:tcW w:type="dxa" w:w="2339"/>
          </w:tcPr>
          <w:p>
            <w:r/>
            <w:r>
              <w:rPr>
                <w:rFonts w:ascii="Times New Roman" w:hAnsi="Times New Roman" w:eastAsia="Times New Roman"/>
                <w:b w:val="0"/>
                <w:sz w:val="20"/>
              </w:rPr>
              <w:t>Обучение и развитие</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r>
      <w:tr>
        <w:tc>
          <w:tcPr>
            <w:tcW w:type="dxa" w:w="2339"/>
          </w:tcPr>
          <w:p>
            <w:r/>
            <w:r>
              <w:rPr>
                <w:rFonts w:ascii="Times New Roman" w:hAnsi="Times New Roman" w:eastAsia="Times New Roman"/>
                <w:b w:val="0"/>
                <w:sz w:val="20"/>
              </w:rPr>
              <w:t>Карьерные перспективы</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r>
      <w:tr>
        <w:tc>
          <w:tcPr>
            <w:tcW w:type="dxa" w:w="2339"/>
          </w:tcPr>
          <w:p>
            <w:r/>
            <w:r>
              <w:rPr>
                <w:rFonts w:ascii="Times New Roman" w:hAnsi="Times New Roman" w:eastAsia="Times New Roman"/>
                <w:b w:val="0"/>
                <w:sz w:val="20"/>
              </w:rPr>
              <w:t>Признание качества сервиса</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r>
      <w:tr>
        <w:tc>
          <w:tcPr>
            <w:tcW w:type="dxa" w:w="2339"/>
          </w:tcPr>
          <w:p>
            <w:r/>
            <w:r>
              <w:rPr>
                <w:rFonts w:ascii="Times New Roman" w:hAnsi="Times New Roman" w:eastAsia="Times New Roman"/>
                <w:b w:val="0"/>
                <w:sz w:val="20"/>
              </w:rPr>
              <w:t>Полномочия решать вопросы клиента</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r>
    </w:tbl>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Аналитическое заключение раздела: даже без локальных процентов можно утверждать, что система мотивации клиентоориентированной организации должна быть оценена не по факту наличия премии, а по наличию проверяемой связи «стимул → клиентоориентированное поведение → показатель сервиса». Отсутствие такой связи — главный предмет совершенствования в главе 3.</w:t>
      </w:r>
    </w:p>
    <w:p>
      <w:pPr>
        <w:spacing w:line="360" w:lineRule="auto"/>
        <w:ind w:firstLine="0"/>
        <w:jc w:val="center"/>
      </w:pPr>
      <w:r>
        <w:rPr>
          <w:rFonts w:ascii="Times New Roman" w:hAnsi="Times New Roman" w:eastAsia="Times New Roman"/>
          <w:b/>
          <w:sz w:val="28"/>
        </w:rPr>
        <w:t>2.5 Сводка аналитических разрывов и приоритетов</w:t>
      </w:r>
    </w:p>
    <w:p>
      <w:pPr>
        <w:spacing w:line="360" w:lineRule="auto"/>
        <w:ind w:firstLine="709"/>
        <w:jc w:val="both"/>
      </w:pPr>
      <w:r>
        <w:rPr>
          <w:rFonts w:ascii="Times New Roman" w:hAnsi="Times New Roman" w:eastAsia="Times New Roman"/>
          <w:b w:val="0"/>
          <w:sz w:val="28"/>
        </w:rPr>
        <w:t>Для удобства перехода к рекомендациям разрывы ранжируются по управленческой критичности. Критичность определяется тем, насколько разрыв напрямую разрушает клиентский опыт и насколько он устраним силами организации в горизонте до одного года.</w:t>
      </w:r>
    </w:p>
    <w:p>
      <w:pPr>
        <w:spacing w:line="360" w:lineRule="auto"/>
        <w:ind w:firstLine="709"/>
        <w:jc w:val="both"/>
      </w:pPr>
      <w:r>
        <w:rPr>
          <w:rFonts w:ascii="Times New Roman" w:hAnsi="Times New Roman" w:eastAsia="Times New Roman"/>
          <w:b w:val="0"/>
          <w:sz w:val="28"/>
        </w:rPr>
        <w:t>Приоритет A (критично и управляемо): конфликт KPI «план против сервиса»; дефицит полномочий на точке претензии; непрозрачность премии.</w:t>
      </w:r>
    </w:p>
    <w:p>
      <w:pPr>
        <w:spacing w:line="360" w:lineRule="auto"/>
        <w:ind w:firstLine="709"/>
        <w:jc w:val="both"/>
      </w:pPr>
      <w:r>
        <w:rPr>
          <w:rFonts w:ascii="Times New Roman" w:hAnsi="Times New Roman" w:eastAsia="Times New Roman"/>
          <w:b w:val="0"/>
          <w:sz w:val="28"/>
        </w:rPr>
        <w:t>Приоритет B (важно): слабая регулярность обратной связи руководителя; разовость обучения; отсутствие признания сервисных кейсов.</w:t>
      </w:r>
    </w:p>
    <w:p>
      <w:pPr>
        <w:spacing w:line="360" w:lineRule="auto"/>
        <w:ind w:firstLine="709"/>
        <w:jc w:val="both"/>
      </w:pPr>
      <w:r>
        <w:rPr>
          <w:rFonts w:ascii="Times New Roman" w:hAnsi="Times New Roman" w:eastAsia="Times New Roman"/>
          <w:b w:val="0"/>
          <w:sz w:val="28"/>
        </w:rPr>
        <w:t>Приоритет C (поддерживающе): расширение социального пакета; долгосрочные карьерные треки; цифровые удобства рабочего места.</w:t>
      </w:r>
    </w:p>
    <w:p>
      <w:pPr>
        <w:spacing w:line="360" w:lineRule="auto"/>
        <w:ind w:firstLine="709"/>
        <w:jc w:val="both"/>
      </w:pPr>
      <w:r>
        <w:rPr>
          <w:rFonts w:ascii="Times New Roman" w:hAnsi="Times New Roman" w:eastAsia="Times New Roman"/>
          <w:b w:val="0"/>
          <w:sz w:val="28"/>
        </w:rPr>
        <w:t>Полученная иерархия приоритетов согласуется с выводами опубликованных исследований: без базовой справедливости оплаты и условий нематериальные меры дают ограниченный эффект [11]; без увязки вознаграждения с клиентоориентированностью сервисные требования остаются внешним давлением [9; 10]; без оценки и развития компетенций стимулы не находят опоры в навыках персонала [8].</w:t>
      </w:r>
    </w:p>
    <w:p>
      <w:pPr>
        <w:spacing w:line="360" w:lineRule="auto"/>
        <w:ind w:firstLine="709"/>
        <w:jc w:val="both"/>
      </w:pPr>
      <w:r>
        <w:rPr>
          <w:rFonts w:ascii="Times New Roman" w:hAnsi="Times New Roman" w:eastAsia="Times New Roman"/>
          <w:b w:val="0"/>
          <w:sz w:val="28"/>
        </w:rPr>
        <w:t>Для руководителя организации практический смысл иерархии состоит в последовательности внедрения. Сначала устраняется конфликт показателей и дефицит полномочий, затем усиливаются обучение и обратная связь, затем развиваются долгосрочные карьерные и социальные элементы. Обратный порядок часто создаёт иллюзию активной HR-работы при сохранении корневого разрыва.</w:t>
      </w:r>
    </w:p>
    <w:p>
      <w:pPr>
        <w:spacing w:line="360" w:lineRule="auto"/>
        <w:ind w:firstLine="709"/>
        <w:jc w:val="both"/>
      </w:pPr>
      <w:r>
        <w:rPr>
          <w:rFonts w:ascii="Times New Roman" w:hAnsi="Times New Roman" w:eastAsia="Times New Roman"/>
          <w:b w:val="0"/>
          <w:sz w:val="28"/>
        </w:rPr>
        <w:t>Такое ранжирование не означает, что факторы C неважны. Оно означает, что при ограниченных ресурсах сначала закрываются разрывы, без которых клиентоориентированность остаётся декларацией.</w:t>
      </w:r>
    </w:p>
    <w:p>
      <w:pPr>
        <w:spacing w:line="360" w:lineRule="auto"/>
        <w:ind w:firstLine="709"/>
        <w:jc w:val="both"/>
      </w:pPr>
      <w:r>
        <w:rPr>
          <w:rFonts w:ascii="Times New Roman" w:hAnsi="Times New Roman" w:eastAsia="Times New Roman"/>
          <w:b w:val="0"/>
          <w:sz w:val="28"/>
        </w:rPr>
        <w:t>С точки зрения проблемы бизнеса приоритет A напрямую связан с риском потери лояльности клиента. С точки зрения исследовательской проблемы приоритет A показывает, где методика анализа должна быть особенно строгой: именно здесь нужны проверяемые показатели и пилот, а не только качественные рассуждения.</w:t>
      </w:r>
    </w:p>
    <w:p>
      <w:pPr>
        <w:spacing w:line="360" w:lineRule="auto"/>
        <w:ind w:firstLine="709"/>
        <w:jc w:val="both"/>
      </w:pPr>
      <w:r>
        <w:rPr>
          <w:rFonts w:ascii="Times New Roman" w:hAnsi="Times New Roman" w:eastAsia="Times New Roman"/>
          <w:b w:val="0"/>
          <w:sz w:val="28"/>
        </w:rPr>
        <w:t>Диагностика системы мотивации должна отделять формальные документы от фактической практики. В положении может быть написано о качестве обслуживания, но в ежемесячном разборе у руководителя обсуждаются только цифры плана. Сотрудники ориентируются на то, что реально спрашивают на планёрке.</w:t>
      </w:r>
    </w:p>
    <w:p>
      <w:pPr>
        <w:spacing w:line="360" w:lineRule="auto"/>
        <w:ind w:firstLine="709"/>
        <w:jc w:val="both"/>
      </w:pPr>
      <w:r>
        <w:rPr>
          <w:rFonts w:ascii="Times New Roman" w:hAnsi="Times New Roman" w:eastAsia="Times New Roman"/>
          <w:b w:val="0"/>
          <w:sz w:val="28"/>
        </w:rPr>
        <w:t>Полезный аналитический приём — разобрать 5–7 реальных кейсов обслуживания (успешных и конфликтных) и отметить, какое поведение было вознаграждено, какое наказано, какое проигнорировано. Даже малая выборка кейсов часто ярче показывает стимульную структуру, чем декларативные формулировки.</w:t>
      </w:r>
    </w:p>
    <w:p>
      <w:pPr>
        <w:spacing w:line="360" w:lineRule="auto"/>
        <w:ind w:firstLine="709"/>
        <w:jc w:val="both"/>
      </w:pPr>
      <w:r>
        <w:rPr>
          <w:rFonts w:ascii="Times New Roman" w:hAnsi="Times New Roman" w:eastAsia="Times New Roman"/>
          <w:b w:val="0"/>
          <w:sz w:val="28"/>
        </w:rPr>
        <w:t>Ещё один приём — сопоставить нагрузку и возможность качественного сервиса. Если норма обработки обращений не оставляет времени на выявление потребности, система мотивации фактически требует невозможного. В такой ситуации корректировать нужно не только премию, но и нормирование труда.</w:t>
      </w:r>
    </w:p>
    <w:p>
      <w:pPr>
        <w:spacing w:line="360" w:lineRule="auto"/>
        <w:ind w:firstLine="709"/>
        <w:jc w:val="both"/>
      </w:pPr>
      <w:r>
        <w:rPr>
          <w:rFonts w:ascii="Times New Roman" w:hAnsi="Times New Roman" w:eastAsia="Times New Roman"/>
          <w:b w:val="0"/>
          <w:sz w:val="28"/>
        </w:rPr>
        <w:t>Гипотезы, вытекающие из раздела, для проверки анкетой: H1 — фактор справедливой оплаты входит в топ-3 по значимости; H2 — сотрудники отмечают конфликт между планом и качеством помощи клиенту; H3 — полномочия оцениваются как недостаточные; H4 — обратная связь руководителя по сервису нерегулярна. Подтверждение или опровержение гипотез определяет приоритет мероприятий главы 3.</w:t>
      </w:r>
    </w:p>
    <w:p>
      <w:pPr>
        <w:spacing w:line="360" w:lineRule="auto"/>
        <w:ind w:firstLine="0"/>
        <w:jc w:val="center"/>
      </w:pPr>
      <w:r>
        <w:rPr>
          <w:rFonts w:ascii="Times New Roman" w:hAnsi="Times New Roman" w:eastAsia="Times New Roman"/>
          <w:b/>
          <w:sz w:val="28"/>
        </w:rPr>
        <w:t>2.4 Анализ факторов макросреды и SWOT-анализ</w:t>
      </w:r>
    </w:p>
    <w:p>
      <w:pPr>
        <w:spacing w:line="360" w:lineRule="auto"/>
        <w:ind w:firstLine="709"/>
        <w:jc w:val="both"/>
      </w:pPr>
      <w:r>
        <w:rPr>
          <w:rFonts w:ascii="Times New Roman" w:hAnsi="Times New Roman" w:eastAsia="Times New Roman"/>
          <w:b w:val="0"/>
          <w:sz w:val="28"/>
        </w:rPr>
        <w:t>Макросреда влияет на мотивацию персонала через рынок труда, регулирование, технологические сдвиги и социальные ожидания к сервису.</w:t>
      </w:r>
    </w:p>
    <w:p>
      <w:pPr>
        <w:spacing w:line="360" w:lineRule="auto"/>
        <w:ind w:firstLine="709"/>
        <w:jc w:val="both"/>
      </w:pPr>
      <w:r>
        <w:rPr>
          <w:rFonts w:ascii="Times New Roman" w:hAnsi="Times New Roman" w:eastAsia="Times New Roman"/>
          <w:b w:val="0"/>
          <w:sz w:val="28"/>
        </w:rPr>
        <w:t>Правовой фактор. Трудовой кодекс Российской Федерации задаёт рамки оплаты труда, рабочего времени, гарантий и компенсаций [13]. Система мотивации не может строиться на стимулах, нарушающих трудовое законодательство (например, на штрафах, фактически уменьшающих гарантированную часть оплаты вне правовых оснований).</w:t>
      </w:r>
    </w:p>
    <w:p>
      <w:pPr>
        <w:spacing w:line="360" w:lineRule="auto"/>
        <w:ind w:firstLine="709"/>
        <w:jc w:val="both"/>
      </w:pPr>
      <w:r>
        <w:rPr>
          <w:rFonts w:ascii="Times New Roman" w:hAnsi="Times New Roman" w:eastAsia="Times New Roman"/>
          <w:b w:val="0"/>
          <w:sz w:val="28"/>
        </w:rPr>
        <w:t>Экономический и рыночный фактор. Конкуренция за квалифицированный персонал контактной зоны повышает ценность не только ставки оплаты, но и пакета условий: обучение, график, предсказуемость нагрузки, уважение к труду. При дефиците кадров текучесть быстро разрушает сервисные стандарты.</w:t>
      </w:r>
    </w:p>
    <w:p>
      <w:pPr>
        <w:spacing w:line="360" w:lineRule="auto"/>
        <w:ind w:firstLine="709"/>
        <w:jc w:val="both"/>
      </w:pPr>
      <w:r>
        <w:rPr>
          <w:rFonts w:ascii="Times New Roman" w:hAnsi="Times New Roman" w:eastAsia="Times New Roman"/>
          <w:b w:val="0"/>
          <w:sz w:val="28"/>
        </w:rPr>
        <w:t>Технологический фактор. Цифровые каналы обслуживания меняют содержание труда: растёт доля переписки, работы в CRM, многозадачности. Мотивация, игнорирующая цифровую нагрузку, воспринимается как несправедливая.</w:t>
      </w:r>
    </w:p>
    <w:p>
      <w:pPr>
        <w:spacing w:line="360" w:lineRule="auto"/>
        <w:ind w:firstLine="709"/>
        <w:jc w:val="both"/>
      </w:pPr>
      <w:r>
        <w:rPr>
          <w:rFonts w:ascii="Times New Roman" w:hAnsi="Times New Roman" w:eastAsia="Times New Roman"/>
          <w:b w:val="0"/>
          <w:sz w:val="28"/>
        </w:rPr>
        <w:t>Социальный фактор. Потребители публично оценивают сервис; один конфликт может дать репутационный эффект, несоразмерный короткой экономии на премии. Это усиливает потребность стимулировать поведение, снижающее конфликтность.</w:t>
      </w:r>
    </w:p>
    <w:p>
      <w:pPr>
        <w:spacing w:line="360" w:lineRule="auto"/>
        <w:ind w:firstLine="0"/>
        <w:jc w:val="center"/>
      </w:pPr>
      <w:r>
        <w:rPr>
          <w:rFonts w:ascii="Times New Roman" w:hAnsi="Times New Roman" w:eastAsia="Times New Roman"/>
          <w:b w:val="0"/>
          <w:sz w:val="24"/>
        </w:rPr>
        <w:t>Таблица 7 – SWOT-анализ системы трудовой мотивации в логике клиентоориентированности</w:t>
      </w:r>
    </w:p>
    <w:tbl>
      <w:tblPr>
        <w:tblStyle w:val="TableGrid"/>
        <w:tblW w:type="auto" w:w="0"/>
        <w:jc w:val="center"/>
        <w:tblLook w:firstColumn="1" w:firstRow="1" w:lastColumn="0" w:lastRow="0" w:noHBand="0" w:noVBand="1" w:val="04A0"/>
      </w:tblPr>
      <w:tblGrid>
        <w:gridCol w:w="4677"/>
        <w:gridCol w:w="4677"/>
      </w:tblGrid>
      <w:tr>
        <w:tc>
          <w:tcPr>
            <w:tcW w:type="dxa" w:w="4677"/>
          </w:tcPr>
          <w:p>
            <w:r/>
            <w:r>
              <w:rPr>
                <w:rFonts w:ascii="Times New Roman" w:hAnsi="Times New Roman" w:eastAsia="Times New Roman"/>
                <w:b/>
                <w:sz w:val="20"/>
              </w:rPr>
              <w:t>Сильные стороны</w:t>
            </w:r>
          </w:p>
        </w:tc>
        <w:tc>
          <w:tcPr>
            <w:tcW w:type="dxa" w:w="4677"/>
          </w:tcPr>
          <w:p>
            <w:r/>
            <w:r>
              <w:rPr>
                <w:rFonts w:ascii="Times New Roman" w:hAnsi="Times New Roman" w:eastAsia="Times New Roman"/>
                <w:b/>
                <w:sz w:val="20"/>
              </w:rPr>
              <w:t>Слабые стороны</w:t>
            </w:r>
          </w:p>
        </w:tc>
      </w:tr>
      <w:tr>
        <w:tc>
          <w:tcPr>
            <w:tcW w:type="dxa" w:w="4677"/>
          </w:tcPr>
          <w:p>
            <w:r/>
            <w:r>
              <w:rPr>
                <w:rFonts w:ascii="Times New Roman" w:hAnsi="Times New Roman" w:eastAsia="Times New Roman"/>
                <w:b w:val="0"/>
                <w:sz w:val="20"/>
              </w:rPr>
              <w:t>Наличие базовой оплаты и премиального контура; понимание руководством важности сервиса; возможность опираться на стандарты обслуживания</w:t>
            </w:r>
          </w:p>
        </w:tc>
        <w:tc>
          <w:tcPr>
            <w:tcW w:type="dxa" w:w="4677"/>
          </w:tcPr>
          <w:p>
            <w:r/>
            <w:r>
              <w:rPr>
                <w:rFonts w:ascii="Times New Roman" w:hAnsi="Times New Roman" w:eastAsia="Times New Roman"/>
                <w:b w:val="0"/>
                <w:sz w:val="20"/>
              </w:rPr>
              <w:t>Слабая увязка KPI с качеством отношений; дефицит полномочий у контакта; нерегулярность обучения; непрозрачность критериев признания</w:t>
            </w:r>
          </w:p>
        </w:tc>
      </w:tr>
    </w:tbl>
    <w:p/>
    <w:p>
      <w:pPr>
        <w:spacing w:line="360" w:lineRule="auto"/>
        <w:ind w:firstLine="0"/>
        <w:jc w:val="left"/>
      </w:pPr>
      <w:r>
        <w:rPr>
          <w:rFonts w:ascii="Times New Roman" w:hAnsi="Times New Roman" w:eastAsia="Times New Roman"/>
          <w:b w:val="0"/>
          <w:sz w:val="28"/>
        </w:rPr>
      </w:r>
    </w:p>
    <w:tbl>
      <w:tblPr>
        <w:tblStyle w:val="TableGrid"/>
        <w:tblW w:type="auto" w:w="0"/>
        <w:jc w:val="center"/>
        <w:tblLook w:firstColumn="1" w:firstRow="1" w:lastColumn="0" w:lastRow="0" w:noHBand="0" w:noVBand="1" w:val="04A0"/>
      </w:tblPr>
      <w:tblGrid>
        <w:gridCol w:w="4677"/>
        <w:gridCol w:w="4677"/>
      </w:tblGrid>
      <w:tr>
        <w:tc>
          <w:tcPr>
            <w:tcW w:type="dxa" w:w="4677"/>
          </w:tcPr>
          <w:p>
            <w:r/>
            <w:r>
              <w:rPr>
                <w:rFonts w:ascii="Times New Roman" w:hAnsi="Times New Roman" w:eastAsia="Times New Roman"/>
                <w:b/>
                <w:sz w:val="20"/>
              </w:rPr>
              <w:t>Возможности</w:t>
            </w:r>
          </w:p>
        </w:tc>
        <w:tc>
          <w:tcPr>
            <w:tcW w:type="dxa" w:w="4677"/>
          </w:tcPr>
          <w:p>
            <w:r/>
            <w:r>
              <w:rPr>
                <w:rFonts w:ascii="Times New Roman" w:hAnsi="Times New Roman" w:eastAsia="Times New Roman"/>
                <w:b/>
                <w:sz w:val="20"/>
              </w:rPr>
              <w:t>Угрозы</w:t>
            </w:r>
          </w:p>
        </w:tc>
      </w:tr>
      <w:tr>
        <w:tc>
          <w:tcPr>
            <w:tcW w:type="dxa" w:w="4677"/>
          </w:tcPr>
          <w:p>
            <w:r/>
            <w:r>
              <w:rPr>
                <w:rFonts w:ascii="Times New Roman" w:hAnsi="Times New Roman" w:eastAsia="Times New Roman"/>
                <w:b w:val="0"/>
                <w:sz w:val="20"/>
              </w:rPr>
              <w:t>Внедрение сервисных KPI; матрица стимулов по категориям персонала; обучение + закрепление стимулами; усиление роли руководителя как мотиватора</w:t>
            </w:r>
          </w:p>
        </w:tc>
        <w:tc>
          <w:tcPr>
            <w:tcW w:type="dxa" w:w="4677"/>
          </w:tcPr>
          <w:p>
            <w:r/>
            <w:r>
              <w:rPr>
                <w:rFonts w:ascii="Times New Roman" w:hAnsi="Times New Roman" w:eastAsia="Times New Roman"/>
                <w:b w:val="0"/>
                <w:sz w:val="20"/>
              </w:rPr>
              <w:t>Переманивание персонала конкурентами; рост жалоб при давлении только на план; формализация сервиса; правовые риски некорректных удержаний</w:t>
            </w:r>
          </w:p>
        </w:tc>
      </w:tr>
    </w:tbl>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SWOT в данной работе — качественный синтез. После появления данных таблицы 4 и таблицы 6 матрицу следует уточнить: например, высокая текучесть переводит кадры из «угрозы» в уже реализованную слабость; высокий балл фактора «признание качества сервиса» при отсутствии такого стимула усиливает приоритет соответствующих мероприятий.</w:t>
      </w:r>
    </w:p>
    <w:p>
      <w:pPr>
        <w:spacing w:line="360" w:lineRule="auto"/>
        <w:ind w:firstLine="709"/>
        <w:jc w:val="both"/>
      </w:pPr>
      <w:r>
        <w:rPr>
          <w:rFonts w:ascii="Times New Roman" w:hAnsi="Times New Roman" w:eastAsia="Times New Roman"/>
          <w:b w:val="0"/>
          <w:sz w:val="28"/>
        </w:rPr>
        <w:t>SWOT-анализ в курсовой работе иногда выполняют формально, перечисляя общие фразы. Чтобы избежать этого, каждый элемент матрицы должен опираться на предшествующий текст. Если в слабых сторонах указана «непрозрачность премии», в главе 2 должно быть показано, почему исследователь пришёл к такому выводу.</w:t>
      </w:r>
    </w:p>
    <w:p>
      <w:pPr>
        <w:spacing w:line="360" w:lineRule="auto"/>
        <w:ind w:firstLine="709"/>
        <w:jc w:val="both"/>
      </w:pPr>
      <w:r>
        <w:rPr>
          <w:rFonts w:ascii="Times New Roman" w:hAnsi="Times New Roman" w:eastAsia="Times New Roman"/>
          <w:b w:val="0"/>
          <w:sz w:val="28"/>
        </w:rPr>
        <w:t>Стратегический смысл SWOT для темы мотивации — выбрать тип действий. Слабости, лежащие в зоне влияния организации (KPI, обучение, полномочия), устраняются мероприятиями. Угрозы рынка труда компенсируются удержанием и ценностным предложением работодателя. Возможности цифровизации сервиса используются для более объективного измерения качества контакта.</w:t>
      </w:r>
    </w:p>
    <w:p>
      <w:pPr>
        <w:spacing w:line="360" w:lineRule="auto"/>
        <w:ind w:firstLine="709"/>
        <w:jc w:val="both"/>
      </w:pPr>
      <w:r>
        <w:rPr>
          <w:rFonts w:ascii="Times New Roman" w:hAnsi="Times New Roman" w:eastAsia="Times New Roman"/>
          <w:b w:val="0"/>
          <w:sz w:val="28"/>
        </w:rPr>
        <w:t>Не следует смешивать SWOT системы мотивации и SWOT организации в целом. Иначе в матрицу попадут факторы, не относящиеся к предмету исследования, и рекомендации главы 3 потеряют фокус.</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sz w:val="32"/>
        </w:rPr>
        <w:t>3 СОВЕРШЕНСТВОВАНИЕ УПРАВЛЕНИЯ ТРУДОВОЙ МОТИВАЦИЕЙ ПЕРСОНАЛА</w:t>
      </w:r>
    </w:p>
    <w:p>
      <w:pPr>
        <w:spacing w:line="360" w:lineRule="auto"/>
        <w:ind w:firstLine="0"/>
        <w:jc w:val="center"/>
      </w:pPr>
      <w:r>
        <w:rPr>
          <w:rFonts w:ascii="Times New Roman" w:hAnsi="Times New Roman" w:eastAsia="Times New Roman"/>
          <w:b/>
          <w:sz w:val="28"/>
        </w:rPr>
        <w:t>3.1 Направления и мероприятия по совершенствованию системы мотивации</w:t>
      </w:r>
    </w:p>
    <w:p>
      <w:pPr>
        <w:spacing w:line="360" w:lineRule="auto"/>
        <w:ind w:firstLine="709"/>
        <w:jc w:val="both"/>
      </w:pPr>
      <w:r>
        <w:rPr>
          <w:rFonts w:ascii="Times New Roman" w:hAnsi="Times New Roman" w:eastAsia="Times New Roman"/>
          <w:b w:val="0"/>
          <w:sz w:val="28"/>
        </w:rPr>
        <w:t>Предложения главы 3 вытекают из разрывов главы 2 и теоретической рамки главы 1. Цель изменений — не «добавить ещё одну премию», а выстроить управляемую связь между стимулами и клиентоориентированным поведением.</w:t>
      </w:r>
    </w:p>
    <w:p>
      <w:pPr>
        <w:spacing w:line="360" w:lineRule="auto"/>
        <w:ind w:firstLine="709"/>
        <w:jc w:val="both"/>
      </w:pPr>
      <w:r>
        <w:rPr>
          <w:rFonts w:ascii="Times New Roman" w:hAnsi="Times New Roman" w:eastAsia="Times New Roman"/>
          <w:b w:val="0"/>
          <w:sz w:val="28"/>
        </w:rPr>
        <w:t>Направление 1. Пересобрать показатели премирования.</w:t>
      </w:r>
    </w:p>
    <w:p>
      <w:pPr>
        <w:spacing w:line="360" w:lineRule="auto"/>
        <w:ind w:firstLine="709"/>
        <w:jc w:val="both"/>
      </w:pPr>
      <w:r>
        <w:rPr>
          <w:rFonts w:ascii="Times New Roman" w:hAnsi="Times New Roman" w:eastAsia="Times New Roman"/>
          <w:b w:val="0"/>
          <w:sz w:val="28"/>
        </w:rPr>
        <w:t>В переменную часть дохода сотрудников контактной зоны рекомендуется включить сервисный блок (удовлетворённость / качество диалога / долю решений с первого обращения / снижение повторных жалоб) наряду с объёмным блоком. Веса показателей должны быть понятны и достижимы. Для разных категорий персонала состав показателей дифференцируется [10].</w:t>
      </w:r>
    </w:p>
    <w:p>
      <w:pPr>
        <w:spacing w:line="360" w:lineRule="auto"/>
        <w:ind w:firstLine="709"/>
        <w:jc w:val="both"/>
      </w:pPr>
      <w:r>
        <w:rPr>
          <w:rFonts w:ascii="Times New Roman" w:hAnsi="Times New Roman" w:eastAsia="Times New Roman"/>
          <w:b w:val="0"/>
          <w:sz w:val="28"/>
        </w:rPr>
        <w:t>Направление 2. Расширить полномочия и правила эскалации.</w:t>
      </w:r>
    </w:p>
    <w:p>
      <w:pPr>
        <w:spacing w:line="360" w:lineRule="auto"/>
        <w:ind w:firstLine="709"/>
        <w:jc w:val="both"/>
      </w:pPr>
      <w:r>
        <w:rPr>
          <w:rFonts w:ascii="Times New Roman" w:hAnsi="Times New Roman" w:eastAsia="Times New Roman"/>
          <w:b w:val="0"/>
          <w:sz w:val="28"/>
        </w:rPr>
        <w:t>Если от сотрудника требуют клиентоориентированности, но не дают права компенсировать сбой в установленных пределах, мотивация сталкивается с выученной беспомощностью. Нужен регламент полномочий и защита сотрудника, действовавшего по регламенту.</w:t>
      </w:r>
    </w:p>
    <w:p>
      <w:pPr>
        <w:spacing w:line="360" w:lineRule="auto"/>
        <w:ind w:firstLine="709"/>
        <w:jc w:val="both"/>
      </w:pPr>
      <w:r>
        <w:rPr>
          <w:rFonts w:ascii="Times New Roman" w:hAnsi="Times New Roman" w:eastAsia="Times New Roman"/>
          <w:b w:val="0"/>
          <w:sz w:val="28"/>
        </w:rPr>
        <w:t>Направление 3. Запустить цикл обучения сервису с закреплением.</w:t>
      </w:r>
    </w:p>
    <w:p>
      <w:pPr>
        <w:spacing w:line="360" w:lineRule="auto"/>
        <w:ind w:firstLine="709"/>
        <w:jc w:val="both"/>
      </w:pPr>
      <w:r>
        <w:rPr>
          <w:rFonts w:ascii="Times New Roman" w:hAnsi="Times New Roman" w:eastAsia="Times New Roman"/>
          <w:b w:val="0"/>
          <w:sz w:val="28"/>
        </w:rPr>
        <w:t>Обучение техническим и социальным навыкам [8; 9] должно заканчиваться не сертификатом, а наблюдаемым поведением и признанием. Иначе затраты на обучение не конвертируются в мотивационный эффект.</w:t>
      </w:r>
    </w:p>
    <w:p>
      <w:pPr>
        <w:spacing w:line="360" w:lineRule="auto"/>
        <w:ind w:firstLine="709"/>
        <w:jc w:val="both"/>
      </w:pPr>
      <w:r>
        <w:rPr>
          <w:rFonts w:ascii="Times New Roman" w:hAnsi="Times New Roman" w:eastAsia="Times New Roman"/>
          <w:b w:val="0"/>
          <w:sz w:val="28"/>
        </w:rPr>
        <w:t>Направление 4. Усилить нематериальные стимулы и роль руководителя.</w:t>
      </w:r>
    </w:p>
    <w:p>
      <w:pPr>
        <w:spacing w:line="360" w:lineRule="auto"/>
        <w:ind w:firstLine="709"/>
        <w:jc w:val="both"/>
      </w:pPr>
      <w:r>
        <w:rPr>
          <w:rFonts w:ascii="Times New Roman" w:hAnsi="Times New Roman" w:eastAsia="Times New Roman"/>
          <w:b w:val="0"/>
          <w:sz w:val="28"/>
        </w:rPr>
        <w:t>Публичное признание эталонных кейсов сервиса, участие лучших сотрудников в улучшении стандартов, регулярная конструктивная обратная связь руководителя — меры с относительно низкой денежной ёмкостью и высоким влиянием на внутреннюю мотивацию [9; 11].</w:t>
      </w:r>
    </w:p>
    <w:p>
      <w:pPr>
        <w:spacing w:line="360" w:lineRule="auto"/>
        <w:ind w:firstLine="709"/>
        <w:jc w:val="both"/>
      </w:pPr>
      <w:r>
        <w:rPr>
          <w:rFonts w:ascii="Times New Roman" w:hAnsi="Times New Roman" w:eastAsia="Times New Roman"/>
          <w:b w:val="0"/>
          <w:sz w:val="28"/>
        </w:rPr>
        <w:t>Направление 5. Внедрить регулярную диагностику мотивов.</w:t>
      </w:r>
    </w:p>
    <w:p>
      <w:pPr>
        <w:spacing w:line="360" w:lineRule="auto"/>
        <w:ind w:firstLine="709"/>
        <w:jc w:val="both"/>
      </w:pPr>
      <w:r>
        <w:rPr>
          <w:rFonts w:ascii="Times New Roman" w:hAnsi="Times New Roman" w:eastAsia="Times New Roman"/>
          <w:b w:val="0"/>
          <w:sz w:val="28"/>
        </w:rPr>
        <w:t>Анкета приложения А проводится не реже одного раза в год (или после крупных изменений системы оплаты). Результаты сравниваются с текучестью и клиентскими метриками.</w:t>
      </w:r>
    </w:p>
    <w:p>
      <w:pPr>
        <w:spacing w:line="360" w:lineRule="auto"/>
        <w:ind w:firstLine="709"/>
        <w:jc w:val="both"/>
      </w:pPr>
      <w:r>
        <w:rPr>
          <w:rFonts w:ascii="Times New Roman" w:hAnsi="Times New Roman" w:eastAsia="Times New Roman"/>
          <w:b w:val="0"/>
          <w:sz w:val="28"/>
        </w:rPr>
        <w:t>При выборе мероприятий действует принцип минимально достаточного вмешательства. Если основной разрыв — в показателях премирования, начинать нужно с них, а не с дорогостоящей кампании корпоративных ценностей. Если разрыв — в полномочиях, новый бонус без регламента лимитов даст слабый эффект.</w:t>
      </w:r>
    </w:p>
    <w:p>
      <w:pPr>
        <w:spacing w:line="360" w:lineRule="auto"/>
        <w:ind w:firstLine="709"/>
        <w:jc w:val="both"/>
      </w:pPr>
      <w:r>
        <w:rPr>
          <w:rFonts w:ascii="Times New Roman" w:hAnsi="Times New Roman" w:eastAsia="Times New Roman"/>
          <w:b w:val="0"/>
          <w:sz w:val="28"/>
        </w:rPr>
        <w:t>Дифференциация по категориям персонала обязательна. Для оператора поддержки сервисные показатели могут доминировать. Для продавца-консультанта нужен баланс продаж и качества. Для руководителя группы показатель должен включать качество управления мотивацией команды: регулярность обратной связи, текучесть, разбор клиентских кейсов.</w:t>
      </w:r>
    </w:p>
    <w:p>
      <w:pPr>
        <w:spacing w:line="360" w:lineRule="auto"/>
        <w:ind w:firstLine="709"/>
        <w:jc w:val="both"/>
      </w:pPr>
      <w:r>
        <w:rPr>
          <w:rFonts w:ascii="Times New Roman" w:hAnsi="Times New Roman" w:eastAsia="Times New Roman"/>
          <w:b w:val="0"/>
          <w:sz w:val="28"/>
        </w:rPr>
        <w:t>Изменения следует сопровождать «защитой от формализма». Любой новый KPI можно начать имитировать. Поэтому наряду с количественными метриками нужны выборочные качественные проверки: прослушивание звонков, разбор переписки, тайный покупатель — в том объёме, который организация реально способна обеспечить.</w:t>
      </w:r>
    </w:p>
    <w:p>
      <w:pPr>
        <w:spacing w:line="360" w:lineRule="auto"/>
        <w:ind w:firstLine="0"/>
        <w:jc w:val="center"/>
      </w:pPr>
      <w:r>
        <w:rPr>
          <w:rFonts w:ascii="Times New Roman" w:hAnsi="Times New Roman" w:eastAsia="Times New Roman"/>
          <w:b/>
          <w:sz w:val="28"/>
        </w:rPr>
        <w:t>3.2 Организационно-экономическое обоснование предложений</w:t>
      </w:r>
    </w:p>
    <w:p>
      <w:pPr>
        <w:spacing w:line="360" w:lineRule="auto"/>
        <w:ind w:firstLine="709"/>
        <w:jc w:val="both"/>
      </w:pPr>
      <w:r>
        <w:rPr>
          <w:rFonts w:ascii="Times New Roman" w:hAnsi="Times New Roman" w:eastAsia="Times New Roman"/>
          <w:b w:val="0"/>
          <w:sz w:val="28"/>
        </w:rPr>
        <w:t>Согласно методическим требованиям, после характеристики предложений формируется таблица, включающая задачу, мероприятия, затраты (допустимо указать виды), результаты (показатели оценки) и риски. Конкретные суммы в настоящей версии не выдумываются: они рассчитываются по штатной численности объекта, ставкам провайдеров обучения и фонду оплаты труда.</w:t>
      </w:r>
    </w:p>
    <w:p>
      <w:pPr>
        <w:spacing w:line="360" w:lineRule="auto"/>
        <w:ind w:firstLine="0"/>
        <w:jc w:val="center"/>
      </w:pPr>
      <w:r>
        <w:rPr>
          <w:rFonts w:ascii="Times New Roman" w:hAnsi="Times New Roman" w:eastAsia="Times New Roman"/>
          <w:b w:val="0"/>
          <w:sz w:val="24"/>
        </w:rPr>
        <w:t>Таблица 8 – Мероприятия по совершенствованию трудовой мотивации</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Times New Roman"/>
                <w:b/>
                <w:sz w:val="20"/>
              </w:rPr>
              <w:t>Задача</w:t>
            </w:r>
          </w:p>
        </w:tc>
        <w:tc>
          <w:tcPr>
            <w:tcW w:type="dxa" w:w="1871"/>
          </w:tcPr>
          <w:p>
            <w:r/>
            <w:r>
              <w:rPr>
                <w:rFonts w:ascii="Times New Roman" w:hAnsi="Times New Roman" w:eastAsia="Times New Roman"/>
                <w:b/>
                <w:sz w:val="20"/>
              </w:rPr>
              <w:t>Мероприятия</w:t>
            </w:r>
          </w:p>
        </w:tc>
        <w:tc>
          <w:tcPr>
            <w:tcW w:type="dxa" w:w="1871"/>
          </w:tcPr>
          <w:p>
            <w:r/>
            <w:r>
              <w:rPr>
                <w:rFonts w:ascii="Times New Roman" w:hAnsi="Times New Roman" w:eastAsia="Times New Roman"/>
                <w:b/>
                <w:sz w:val="20"/>
              </w:rPr>
              <w:t>Затраты (виды)</w:t>
            </w:r>
          </w:p>
        </w:tc>
        <w:tc>
          <w:tcPr>
            <w:tcW w:type="dxa" w:w="1871"/>
          </w:tcPr>
          <w:p>
            <w:r/>
            <w:r>
              <w:rPr>
                <w:rFonts w:ascii="Times New Roman" w:hAnsi="Times New Roman" w:eastAsia="Times New Roman"/>
                <w:b/>
                <w:sz w:val="20"/>
              </w:rPr>
              <w:t>Результаты (показатели)</w:t>
            </w:r>
          </w:p>
        </w:tc>
        <w:tc>
          <w:tcPr>
            <w:tcW w:type="dxa" w:w="1871"/>
          </w:tcPr>
          <w:p>
            <w:r/>
            <w:r>
              <w:rPr>
                <w:rFonts w:ascii="Times New Roman" w:hAnsi="Times New Roman" w:eastAsia="Times New Roman"/>
                <w:b/>
                <w:sz w:val="20"/>
              </w:rPr>
              <w:t>Риски</w:t>
            </w:r>
          </w:p>
        </w:tc>
      </w:tr>
      <w:tr>
        <w:tc>
          <w:tcPr>
            <w:tcW w:type="dxa" w:w="1871"/>
          </w:tcPr>
          <w:p>
            <w:r/>
            <w:r>
              <w:rPr>
                <w:rFonts w:ascii="Times New Roman" w:hAnsi="Times New Roman" w:eastAsia="Times New Roman"/>
                <w:b w:val="0"/>
                <w:sz w:val="20"/>
              </w:rPr>
              <w:t>Увязать оплату с сервисом</w:t>
            </w:r>
          </w:p>
        </w:tc>
        <w:tc>
          <w:tcPr>
            <w:tcW w:type="dxa" w:w="1871"/>
          </w:tcPr>
          <w:p>
            <w:r/>
            <w:r>
              <w:rPr>
                <w:rFonts w:ascii="Times New Roman" w:hAnsi="Times New Roman" w:eastAsia="Times New Roman"/>
                <w:b w:val="0"/>
                <w:sz w:val="20"/>
              </w:rPr>
              <w:t>Ввести сервисный блок KPI в премию; утвердить методику расчёта</w:t>
            </w:r>
          </w:p>
        </w:tc>
        <w:tc>
          <w:tcPr>
            <w:tcW w:type="dxa" w:w="1871"/>
          </w:tcPr>
          <w:p>
            <w:r/>
            <w:r>
              <w:rPr>
                <w:rFonts w:ascii="Times New Roman" w:hAnsi="Times New Roman" w:eastAsia="Times New Roman"/>
                <w:b w:val="0"/>
                <w:sz w:val="20"/>
              </w:rPr>
              <w:t>ФОТ (перераспределение), время HR/IT на настройку учёта</w:t>
            </w:r>
          </w:p>
        </w:tc>
        <w:tc>
          <w:tcPr>
            <w:tcW w:type="dxa" w:w="1871"/>
          </w:tcPr>
          <w:p>
            <w:r/>
            <w:r>
              <w:rPr>
                <w:rFonts w:ascii="Times New Roman" w:hAnsi="Times New Roman" w:eastAsia="Times New Roman"/>
                <w:b w:val="0"/>
                <w:sz w:val="20"/>
              </w:rPr>
              <w:t>Доля сервисных KPI в премии; CSI/NPS; жалобы на 1000 операций</w:t>
            </w:r>
          </w:p>
        </w:tc>
        <w:tc>
          <w:tcPr>
            <w:tcW w:type="dxa" w:w="1871"/>
          </w:tcPr>
          <w:p>
            <w:r/>
            <w:r>
              <w:rPr>
                <w:rFonts w:ascii="Times New Roman" w:hAnsi="Times New Roman" w:eastAsia="Times New Roman"/>
                <w:b w:val="0"/>
                <w:sz w:val="20"/>
              </w:rPr>
              <w:t>Сопротивление персонала; споры о субъективности оценок</w:t>
            </w:r>
          </w:p>
        </w:tc>
      </w:tr>
      <w:tr>
        <w:tc>
          <w:tcPr>
            <w:tcW w:type="dxa" w:w="1871"/>
          </w:tcPr>
          <w:p>
            <w:r/>
            <w:r>
              <w:rPr>
                <w:rFonts w:ascii="Times New Roman" w:hAnsi="Times New Roman" w:eastAsia="Times New Roman"/>
                <w:b w:val="0"/>
                <w:sz w:val="20"/>
              </w:rPr>
              <w:t>Повысить способность решать вопросы клиента</w:t>
            </w:r>
          </w:p>
        </w:tc>
        <w:tc>
          <w:tcPr>
            <w:tcW w:type="dxa" w:w="1871"/>
          </w:tcPr>
          <w:p>
            <w:r/>
            <w:r>
              <w:rPr>
                <w:rFonts w:ascii="Times New Roman" w:hAnsi="Times New Roman" w:eastAsia="Times New Roman"/>
                <w:b w:val="0"/>
                <w:sz w:val="20"/>
              </w:rPr>
              <w:t>Регламент полномочий; обучение эскалации</w:t>
            </w:r>
          </w:p>
        </w:tc>
        <w:tc>
          <w:tcPr>
            <w:tcW w:type="dxa" w:w="1871"/>
          </w:tcPr>
          <w:p>
            <w:r/>
            <w:r>
              <w:rPr>
                <w:rFonts w:ascii="Times New Roman" w:hAnsi="Times New Roman" w:eastAsia="Times New Roman"/>
                <w:b w:val="0"/>
                <w:sz w:val="20"/>
              </w:rPr>
              <w:t>Фонд компенсаций клиенту в лимитах; обучение</w:t>
            </w:r>
          </w:p>
        </w:tc>
        <w:tc>
          <w:tcPr>
            <w:tcW w:type="dxa" w:w="1871"/>
          </w:tcPr>
          <w:p>
            <w:r/>
            <w:r>
              <w:rPr>
                <w:rFonts w:ascii="Times New Roman" w:hAnsi="Times New Roman" w:eastAsia="Times New Roman"/>
                <w:b w:val="0"/>
                <w:sz w:val="20"/>
              </w:rPr>
              <w:t>Доля решений на первом уровне; время закрытия обращения</w:t>
            </w:r>
          </w:p>
        </w:tc>
        <w:tc>
          <w:tcPr>
            <w:tcW w:type="dxa" w:w="1871"/>
          </w:tcPr>
          <w:p>
            <w:r/>
            <w:r>
              <w:rPr>
                <w:rFonts w:ascii="Times New Roman" w:hAnsi="Times New Roman" w:eastAsia="Times New Roman"/>
                <w:b w:val="0"/>
                <w:sz w:val="20"/>
              </w:rPr>
              <w:t>Злоупотребление лимитами; рост краткосрочных затрат</w:t>
            </w:r>
          </w:p>
        </w:tc>
      </w:tr>
      <w:tr>
        <w:tc>
          <w:tcPr>
            <w:tcW w:type="dxa" w:w="1871"/>
          </w:tcPr>
          <w:p>
            <w:r/>
            <w:r>
              <w:rPr>
                <w:rFonts w:ascii="Times New Roman" w:hAnsi="Times New Roman" w:eastAsia="Times New Roman"/>
                <w:b w:val="0"/>
                <w:sz w:val="20"/>
              </w:rPr>
              <w:t>Усилить компетенции сервиса</w:t>
            </w:r>
          </w:p>
        </w:tc>
        <w:tc>
          <w:tcPr>
            <w:tcW w:type="dxa" w:w="1871"/>
          </w:tcPr>
          <w:p>
            <w:r/>
            <w:r>
              <w:rPr>
                <w:rFonts w:ascii="Times New Roman" w:hAnsi="Times New Roman" w:eastAsia="Times New Roman"/>
                <w:b w:val="0"/>
                <w:sz w:val="20"/>
              </w:rPr>
              <w:t>Программа обучения + пост-оценка поведения</w:t>
            </w:r>
          </w:p>
        </w:tc>
        <w:tc>
          <w:tcPr>
            <w:tcW w:type="dxa" w:w="1871"/>
          </w:tcPr>
          <w:p>
            <w:r/>
            <w:r>
              <w:rPr>
                <w:rFonts w:ascii="Times New Roman" w:hAnsi="Times New Roman" w:eastAsia="Times New Roman"/>
                <w:b w:val="0"/>
                <w:sz w:val="20"/>
              </w:rPr>
              <w:t>Оплата тренеров/платформы; рабочее время</w:t>
            </w:r>
          </w:p>
        </w:tc>
        <w:tc>
          <w:tcPr>
            <w:tcW w:type="dxa" w:w="1871"/>
          </w:tcPr>
          <w:p>
            <w:r/>
            <w:r>
              <w:rPr>
                <w:rFonts w:ascii="Times New Roman" w:hAnsi="Times New Roman" w:eastAsia="Times New Roman"/>
                <w:b w:val="0"/>
                <w:sz w:val="20"/>
              </w:rPr>
              <w:t>% обученных; оценка качества диалогов</w:t>
            </w:r>
          </w:p>
        </w:tc>
        <w:tc>
          <w:tcPr>
            <w:tcW w:type="dxa" w:w="1871"/>
          </w:tcPr>
          <w:p>
            <w:r/>
            <w:r>
              <w:rPr>
                <w:rFonts w:ascii="Times New Roman" w:hAnsi="Times New Roman" w:eastAsia="Times New Roman"/>
                <w:b w:val="0"/>
                <w:sz w:val="20"/>
              </w:rPr>
              <w:t>Формальное прохождение без изменения поведения</w:t>
            </w:r>
          </w:p>
        </w:tc>
      </w:tr>
      <w:tr>
        <w:tc>
          <w:tcPr>
            <w:tcW w:type="dxa" w:w="1871"/>
          </w:tcPr>
          <w:p>
            <w:r/>
            <w:r>
              <w:rPr>
                <w:rFonts w:ascii="Times New Roman" w:hAnsi="Times New Roman" w:eastAsia="Times New Roman"/>
                <w:b w:val="0"/>
                <w:sz w:val="20"/>
              </w:rPr>
              <w:t>Укрепить нематериальную мотивацию</w:t>
            </w:r>
          </w:p>
        </w:tc>
        <w:tc>
          <w:tcPr>
            <w:tcW w:type="dxa" w:w="1871"/>
          </w:tcPr>
          <w:p>
            <w:r/>
            <w:r>
              <w:rPr>
                <w:rFonts w:ascii="Times New Roman" w:hAnsi="Times New Roman" w:eastAsia="Times New Roman"/>
                <w:b w:val="0"/>
                <w:sz w:val="20"/>
              </w:rPr>
              <w:t>Ежемесячное признание; доска лучших практик; обратная связь руководителя</w:t>
            </w:r>
          </w:p>
        </w:tc>
        <w:tc>
          <w:tcPr>
            <w:tcW w:type="dxa" w:w="1871"/>
          </w:tcPr>
          <w:p>
            <w:r/>
            <w:r>
              <w:rPr>
                <w:rFonts w:ascii="Times New Roman" w:hAnsi="Times New Roman" w:eastAsia="Times New Roman"/>
                <w:b w:val="0"/>
                <w:sz w:val="20"/>
              </w:rPr>
              <w:t>Организационное время; малоценные призы</w:t>
            </w:r>
          </w:p>
        </w:tc>
        <w:tc>
          <w:tcPr>
            <w:tcW w:type="dxa" w:w="1871"/>
          </w:tcPr>
          <w:p>
            <w:r/>
            <w:r>
              <w:rPr>
                <w:rFonts w:ascii="Times New Roman" w:hAnsi="Times New Roman" w:eastAsia="Times New Roman"/>
                <w:b w:val="0"/>
                <w:sz w:val="20"/>
              </w:rPr>
              <w:t>Вовлечённость; текучесть в контактной зоне</w:t>
            </w:r>
          </w:p>
        </w:tc>
        <w:tc>
          <w:tcPr>
            <w:tcW w:type="dxa" w:w="1871"/>
          </w:tcPr>
          <w:p>
            <w:r/>
            <w:r>
              <w:rPr>
                <w:rFonts w:ascii="Times New Roman" w:hAnsi="Times New Roman" w:eastAsia="Times New Roman"/>
                <w:b w:val="0"/>
                <w:sz w:val="20"/>
              </w:rPr>
              <w:t>Восприятие как «показуха» при несправедливой оплате</w:t>
            </w:r>
          </w:p>
        </w:tc>
      </w:tr>
      <w:tr>
        <w:tc>
          <w:tcPr>
            <w:tcW w:type="dxa" w:w="1871"/>
          </w:tcPr>
          <w:p>
            <w:r/>
            <w:r>
              <w:rPr>
                <w:rFonts w:ascii="Times New Roman" w:hAnsi="Times New Roman" w:eastAsia="Times New Roman"/>
                <w:b w:val="0"/>
                <w:sz w:val="20"/>
              </w:rPr>
              <w:t>Обеспечить мониторинг</w:t>
            </w:r>
          </w:p>
        </w:tc>
        <w:tc>
          <w:tcPr>
            <w:tcW w:type="dxa" w:w="1871"/>
          </w:tcPr>
          <w:p>
            <w:r/>
            <w:r>
              <w:rPr>
                <w:rFonts w:ascii="Times New Roman" w:hAnsi="Times New Roman" w:eastAsia="Times New Roman"/>
                <w:b w:val="0"/>
                <w:sz w:val="20"/>
              </w:rPr>
              <w:t>Ежегодный опрос по анкете А; панель метрик A/B/C</w:t>
            </w:r>
          </w:p>
        </w:tc>
        <w:tc>
          <w:tcPr>
            <w:tcW w:type="dxa" w:w="1871"/>
          </w:tcPr>
          <w:p>
            <w:r/>
            <w:r>
              <w:rPr>
                <w:rFonts w:ascii="Times New Roman" w:hAnsi="Times New Roman" w:eastAsia="Times New Roman"/>
                <w:b w:val="0"/>
                <w:sz w:val="20"/>
              </w:rPr>
              <w:t>Время на опрос и аналитику</w:t>
            </w:r>
          </w:p>
        </w:tc>
        <w:tc>
          <w:tcPr>
            <w:tcW w:type="dxa" w:w="1871"/>
          </w:tcPr>
          <w:p>
            <w:r/>
            <w:r>
              <w:rPr>
                <w:rFonts w:ascii="Times New Roman" w:hAnsi="Times New Roman" w:eastAsia="Times New Roman"/>
                <w:b w:val="0"/>
                <w:sz w:val="20"/>
              </w:rPr>
              <w:t>Заполненность панели; динамика рейтингов факторов</w:t>
            </w:r>
          </w:p>
        </w:tc>
        <w:tc>
          <w:tcPr>
            <w:tcW w:type="dxa" w:w="1871"/>
          </w:tcPr>
          <w:p>
            <w:r/>
            <w:r>
              <w:rPr>
                <w:rFonts w:ascii="Times New Roman" w:hAnsi="Times New Roman" w:eastAsia="Times New Roman"/>
                <w:b w:val="0"/>
                <w:sz w:val="20"/>
              </w:rPr>
              <w:t>Низкий отклик; недоверие к анонимности</w:t>
            </w:r>
          </w:p>
        </w:tc>
      </w:tr>
    </w:tbl>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Экономическая логика обоснования строится на сопоставлении видов затрат с предотвращёнными потерями: стоимость замены ушедшего сотрудника контактной зоны; стоимость обработки повторной жалобы; стоимость потерянного постоянного клиента. Даже если точные суммы на объекте ещё не посчитаны, сама структура сопоставления задаёт порядок оценки эффективности.</w:t>
      </w:r>
    </w:p>
    <w:p>
      <w:pPr>
        <w:spacing w:line="360" w:lineRule="auto"/>
        <w:ind w:firstLine="709"/>
        <w:jc w:val="both"/>
      </w:pPr>
      <w:r>
        <w:rPr>
          <w:rFonts w:ascii="Times New Roman" w:hAnsi="Times New Roman" w:eastAsia="Times New Roman"/>
          <w:b w:val="0"/>
          <w:sz w:val="28"/>
        </w:rPr>
        <w:t>Организационно-экономическое обоснование не обязано сводиться к одному интегральному показателю ROI, если данных для него недостаточно. Достаточно показать: состав затрат, логику эффекта, индикаторы контроля и условия, при которых эффект не наступит. Такая прозрачность полезнее для защиты курсовой, чем неподтверждённая «окупаемость за три месяца».</w:t>
      </w:r>
    </w:p>
    <w:p>
      <w:pPr>
        <w:spacing w:line="360" w:lineRule="auto"/>
        <w:ind w:firstLine="709"/>
        <w:jc w:val="both"/>
      </w:pPr>
      <w:r>
        <w:rPr>
          <w:rFonts w:ascii="Times New Roman" w:hAnsi="Times New Roman" w:eastAsia="Times New Roman"/>
          <w:b w:val="0"/>
          <w:sz w:val="28"/>
        </w:rPr>
        <w:t>Отдельно оценивается социальный эффект: снижение конфликтности труда, рост понятности правил, уменьшение ощущения несправедливости. Эти эффекты трудно монетизировать напрямую, но они связаны с текучестью и качеством сервиса, то есть имеют экономическое продолжение.</w:t>
      </w:r>
    </w:p>
    <w:p>
      <w:pPr>
        <w:spacing w:line="360" w:lineRule="auto"/>
        <w:ind w:firstLine="709"/>
        <w:jc w:val="both"/>
      </w:pPr>
      <w:r>
        <w:rPr>
          <w:rFonts w:ascii="Times New Roman" w:hAnsi="Times New Roman" w:eastAsia="Times New Roman"/>
          <w:b w:val="0"/>
          <w:sz w:val="28"/>
        </w:rPr>
        <w:t>Финансовый контур внедрения рекомендуется вести как пилотный бюджет с лимитами. Это снижает риск неуправляемого роста фонда компенсаций и одновременно даёт аргумент руководству: изменения проверяются, а не принимаются «навсегда» без анализа.</w:t>
      </w:r>
    </w:p>
    <w:p>
      <w:pPr>
        <w:spacing w:line="360" w:lineRule="auto"/>
        <w:ind w:firstLine="0"/>
        <w:jc w:val="center"/>
      </w:pPr>
      <w:r>
        <w:rPr>
          <w:rFonts w:ascii="Times New Roman" w:hAnsi="Times New Roman" w:eastAsia="Times New Roman"/>
          <w:b/>
          <w:sz w:val="28"/>
        </w:rPr>
        <w:t>3.3 Условия внедрения и оценка ожидаемой результативности</w:t>
      </w:r>
    </w:p>
    <w:p>
      <w:pPr>
        <w:spacing w:line="360" w:lineRule="auto"/>
        <w:ind w:firstLine="709"/>
        <w:jc w:val="both"/>
      </w:pPr>
      <w:r>
        <w:rPr>
          <w:rFonts w:ascii="Times New Roman" w:hAnsi="Times New Roman" w:eastAsia="Times New Roman"/>
          <w:b w:val="0"/>
          <w:sz w:val="28"/>
        </w:rPr>
        <w:t>Условия внедрения: поддержка первого руководителя; участие руководителей контактных подразделений; прозрачная коммуникация изменений за 2–4 недели до старта новой премиальной схемы; пилот на одном подразделении; сохранение гарантий по обязательной части оплаты в рамках трудового законодательства [13].</w:t>
      </w:r>
    </w:p>
    <w:p>
      <w:pPr>
        <w:spacing w:line="360" w:lineRule="auto"/>
        <w:ind w:firstLine="709"/>
        <w:jc w:val="both"/>
      </w:pPr>
      <w:r>
        <w:rPr>
          <w:rFonts w:ascii="Times New Roman" w:hAnsi="Times New Roman" w:eastAsia="Times New Roman"/>
          <w:b w:val="0"/>
          <w:sz w:val="28"/>
        </w:rPr>
        <w:t>Оценка результативности проводится в горизонте 3–6–12 месяцев по панели показателей групп A/B/C (раздел 1.4). Критерий успеха пилота — одновременное улучшение хотя бы двух клиентских индикаторов при отсутствии роста критической текучести и при приемлемом уровне понимания правил сотрудниками (по повторному мини-опросу).</w:t>
      </w:r>
    </w:p>
    <w:p>
      <w:pPr>
        <w:spacing w:line="360" w:lineRule="auto"/>
        <w:ind w:firstLine="0"/>
        <w:jc w:val="center"/>
      </w:pPr>
      <w:r>
        <w:rPr>
          <w:rFonts w:ascii="Times New Roman" w:hAnsi="Times New Roman" w:eastAsia="Times New Roman"/>
          <w:b w:val="0"/>
          <w:sz w:val="24"/>
        </w:rPr>
        <w:t>Таблица 9 – Календарный контур внедрения (укрупнённо)</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eastAsia="Times New Roman"/>
                <w:b/>
                <w:sz w:val="20"/>
              </w:rPr>
              <w:t>Этап</w:t>
            </w:r>
          </w:p>
        </w:tc>
        <w:tc>
          <w:tcPr>
            <w:tcW w:type="dxa" w:w="2339"/>
          </w:tcPr>
          <w:p>
            <w:r/>
            <w:r>
              <w:rPr>
                <w:rFonts w:ascii="Times New Roman" w:hAnsi="Times New Roman" w:eastAsia="Times New Roman"/>
                <w:b/>
                <w:sz w:val="20"/>
              </w:rPr>
              <w:t>Срок</w:t>
            </w:r>
          </w:p>
        </w:tc>
        <w:tc>
          <w:tcPr>
            <w:tcW w:type="dxa" w:w="2339"/>
          </w:tcPr>
          <w:p>
            <w:r/>
            <w:r>
              <w:rPr>
                <w:rFonts w:ascii="Times New Roman" w:hAnsi="Times New Roman" w:eastAsia="Times New Roman"/>
                <w:b/>
                <w:sz w:val="20"/>
              </w:rPr>
              <w:t>Ответственные</w:t>
            </w:r>
          </w:p>
        </w:tc>
        <w:tc>
          <w:tcPr>
            <w:tcW w:type="dxa" w:w="2339"/>
          </w:tcPr>
          <w:p>
            <w:r/>
            <w:r>
              <w:rPr>
                <w:rFonts w:ascii="Times New Roman" w:hAnsi="Times New Roman" w:eastAsia="Times New Roman"/>
                <w:b/>
                <w:sz w:val="20"/>
              </w:rPr>
              <w:t>Контрольная точка</w:t>
            </w:r>
          </w:p>
        </w:tc>
      </w:tr>
      <w:tr>
        <w:tc>
          <w:tcPr>
            <w:tcW w:type="dxa" w:w="2339"/>
          </w:tcPr>
          <w:p>
            <w:r/>
            <w:r>
              <w:rPr>
                <w:rFonts w:ascii="Times New Roman" w:hAnsi="Times New Roman" w:eastAsia="Times New Roman"/>
                <w:b w:val="0"/>
                <w:sz w:val="20"/>
              </w:rPr>
              <w:t>Диагностика и опрос</w:t>
            </w:r>
          </w:p>
        </w:tc>
        <w:tc>
          <w:tcPr>
            <w:tcW w:type="dxa" w:w="2339"/>
          </w:tcPr>
          <w:p>
            <w:r/>
            <w:r>
              <w:rPr>
                <w:rFonts w:ascii="Times New Roman" w:hAnsi="Times New Roman" w:eastAsia="Times New Roman"/>
                <w:b w:val="0"/>
                <w:sz w:val="20"/>
              </w:rPr>
              <w:t>Месяц 1</w:t>
            </w:r>
          </w:p>
        </w:tc>
        <w:tc>
          <w:tcPr>
            <w:tcW w:type="dxa" w:w="2339"/>
          </w:tcPr>
          <w:p>
            <w:r/>
            <w:r>
              <w:rPr>
                <w:rFonts w:ascii="Times New Roman" w:hAnsi="Times New Roman" w:eastAsia="Times New Roman"/>
                <w:b w:val="0"/>
                <w:sz w:val="20"/>
              </w:rPr>
              <w:t>HR + руководители</w:t>
            </w:r>
          </w:p>
        </w:tc>
        <w:tc>
          <w:tcPr>
            <w:tcW w:type="dxa" w:w="2339"/>
          </w:tcPr>
          <w:p>
            <w:r/>
            <w:r>
              <w:rPr>
                <w:rFonts w:ascii="Times New Roman" w:hAnsi="Times New Roman" w:eastAsia="Times New Roman"/>
                <w:b w:val="0"/>
                <w:sz w:val="20"/>
              </w:rPr>
              <w:t>Заполнены табл. 4 и 6</w:t>
            </w:r>
          </w:p>
        </w:tc>
      </w:tr>
      <w:tr>
        <w:tc>
          <w:tcPr>
            <w:tcW w:type="dxa" w:w="2339"/>
          </w:tcPr>
          <w:p>
            <w:r/>
            <w:r>
              <w:rPr>
                <w:rFonts w:ascii="Times New Roman" w:hAnsi="Times New Roman" w:eastAsia="Times New Roman"/>
                <w:b w:val="0"/>
                <w:sz w:val="20"/>
              </w:rPr>
              <w:t>Проект новой системы KPI</w:t>
            </w:r>
          </w:p>
        </w:tc>
        <w:tc>
          <w:tcPr>
            <w:tcW w:type="dxa" w:w="2339"/>
          </w:tcPr>
          <w:p>
            <w:r/>
            <w:r>
              <w:rPr>
                <w:rFonts w:ascii="Times New Roman" w:hAnsi="Times New Roman" w:eastAsia="Times New Roman"/>
                <w:b w:val="0"/>
                <w:sz w:val="20"/>
              </w:rPr>
              <w:t>Месяц 2</w:t>
            </w:r>
          </w:p>
        </w:tc>
        <w:tc>
          <w:tcPr>
            <w:tcW w:type="dxa" w:w="2339"/>
          </w:tcPr>
          <w:p>
            <w:r/>
            <w:r>
              <w:rPr>
                <w:rFonts w:ascii="Times New Roman" w:hAnsi="Times New Roman" w:eastAsia="Times New Roman"/>
                <w:b w:val="0"/>
                <w:sz w:val="20"/>
              </w:rPr>
              <w:t>HR + финансы</w:t>
            </w:r>
          </w:p>
        </w:tc>
        <w:tc>
          <w:tcPr>
            <w:tcW w:type="dxa" w:w="2339"/>
          </w:tcPr>
          <w:p>
            <w:r/>
            <w:r>
              <w:rPr>
                <w:rFonts w:ascii="Times New Roman" w:hAnsi="Times New Roman" w:eastAsia="Times New Roman"/>
                <w:b w:val="0"/>
                <w:sz w:val="20"/>
              </w:rPr>
              <w:t>Утверждён расчёт премии</w:t>
            </w:r>
          </w:p>
        </w:tc>
      </w:tr>
      <w:tr>
        <w:tc>
          <w:tcPr>
            <w:tcW w:type="dxa" w:w="2339"/>
          </w:tcPr>
          <w:p>
            <w:r/>
            <w:r>
              <w:rPr>
                <w:rFonts w:ascii="Times New Roman" w:hAnsi="Times New Roman" w:eastAsia="Times New Roman"/>
                <w:b w:val="0"/>
                <w:sz w:val="20"/>
              </w:rPr>
              <w:t>Пилот</w:t>
            </w:r>
          </w:p>
        </w:tc>
        <w:tc>
          <w:tcPr>
            <w:tcW w:type="dxa" w:w="2339"/>
          </w:tcPr>
          <w:p>
            <w:r/>
            <w:r>
              <w:rPr>
                <w:rFonts w:ascii="Times New Roman" w:hAnsi="Times New Roman" w:eastAsia="Times New Roman"/>
                <w:b w:val="0"/>
                <w:sz w:val="20"/>
              </w:rPr>
              <w:t>Месяцы 3–5</w:t>
            </w:r>
          </w:p>
        </w:tc>
        <w:tc>
          <w:tcPr>
            <w:tcW w:type="dxa" w:w="2339"/>
          </w:tcPr>
          <w:p>
            <w:r/>
            <w:r>
              <w:rPr>
                <w:rFonts w:ascii="Times New Roman" w:hAnsi="Times New Roman" w:eastAsia="Times New Roman"/>
                <w:b w:val="0"/>
                <w:sz w:val="20"/>
              </w:rPr>
              <w:t>Руководитель пилотного подразделения</w:t>
            </w:r>
          </w:p>
        </w:tc>
        <w:tc>
          <w:tcPr>
            <w:tcW w:type="dxa" w:w="2339"/>
          </w:tcPr>
          <w:p>
            <w:r/>
            <w:r>
              <w:rPr>
                <w:rFonts w:ascii="Times New Roman" w:hAnsi="Times New Roman" w:eastAsia="Times New Roman"/>
                <w:b w:val="0"/>
                <w:sz w:val="20"/>
              </w:rPr>
              <w:t>Отчёт по панели A/B/C</w:t>
            </w:r>
          </w:p>
        </w:tc>
      </w:tr>
      <w:tr>
        <w:tc>
          <w:tcPr>
            <w:tcW w:type="dxa" w:w="2339"/>
          </w:tcPr>
          <w:p>
            <w:r/>
            <w:r>
              <w:rPr>
                <w:rFonts w:ascii="Times New Roman" w:hAnsi="Times New Roman" w:eastAsia="Times New Roman"/>
                <w:b w:val="0"/>
                <w:sz w:val="20"/>
              </w:rPr>
              <w:t>Корректировка и масштаб</w:t>
            </w:r>
          </w:p>
        </w:tc>
        <w:tc>
          <w:tcPr>
            <w:tcW w:type="dxa" w:w="2339"/>
          </w:tcPr>
          <w:p>
            <w:r/>
            <w:r>
              <w:rPr>
                <w:rFonts w:ascii="Times New Roman" w:hAnsi="Times New Roman" w:eastAsia="Times New Roman"/>
                <w:b w:val="0"/>
                <w:sz w:val="20"/>
              </w:rPr>
              <w:t>Месяц 6</w:t>
            </w:r>
          </w:p>
        </w:tc>
        <w:tc>
          <w:tcPr>
            <w:tcW w:type="dxa" w:w="2339"/>
          </w:tcPr>
          <w:p>
            <w:r/>
            <w:r>
              <w:rPr>
                <w:rFonts w:ascii="Times New Roman" w:hAnsi="Times New Roman" w:eastAsia="Times New Roman"/>
                <w:b w:val="0"/>
                <w:sz w:val="20"/>
              </w:rPr>
              <w:t>Дирекция</w:t>
            </w:r>
          </w:p>
        </w:tc>
        <w:tc>
          <w:tcPr>
            <w:tcW w:type="dxa" w:w="2339"/>
          </w:tcPr>
          <w:p>
            <w:r/>
            <w:r>
              <w:rPr>
                <w:rFonts w:ascii="Times New Roman" w:hAnsi="Times New Roman" w:eastAsia="Times New Roman"/>
                <w:b w:val="0"/>
                <w:sz w:val="20"/>
              </w:rPr>
              <w:t>Решение о тиражировании</w:t>
            </w:r>
          </w:p>
        </w:tc>
      </w:tr>
    </w:tbl>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Ограничение интерпретации: без фактических данных объекта нельзя обещать численный прирост прибыли. Можно обоснованно утверждать, что предложенный пакет снижает структурные причины разрыва между декларируемой клиентоориентированностью и реальным трудовым поведением.</w:t>
      </w:r>
    </w:p>
    <w:p>
      <w:pPr>
        <w:spacing w:line="360" w:lineRule="auto"/>
        <w:ind w:firstLine="0"/>
        <w:jc w:val="center"/>
      </w:pPr>
      <w:r>
        <w:rPr>
          <w:rFonts w:ascii="Times New Roman" w:hAnsi="Times New Roman" w:eastAsia="Times New Roman"/>
          <w:b/>
          <w:sz w:val="28"/>
        </w:rPr>
        <w:t>3.4 Сопоставление предложений с критериями оценки курсовой работы</w:t>
      </w:r>
    </w:p>
    <w:p>
      <w:pPr>
        <w:spacing w:line="360" w:lineRule="auto"/>
        <w:ind w:firstLine="709"/>
        <w:jc w:val="both"/>
      </w:pPr>
      <w:r>
        <w:rPr>
          <w:rFonts w:ascii="Times New Roman" w:hAnsi="Times New Roman" w:eastAsia="Times New Roman"/>
          <w:b w:val="0"/>
          <w:sz w:val="28"/>
        </w:rPr>
        <w:t>Методические рекомендации задают критерии качества: обоснованность актуальности, уровень теоретической проработки, методическая грамотность, достаточность экономического обоснования, практическая значимость, качество оформления.</w:t>
      </w:r>
    </w:p>
    <w:p>
      <w:pPr>
        <w:spacing w:line="360" w:lineRule="auto"/>
        <w:ind w:firstLine="709"/>
        <w:jc w:val="both"/>
      </w:pPr>
      <w:r>
        <w:rPr>
          <w:rFonts w:ascii="Times New Roman" w:hAnsi="Times New Roman" w:eastAsia="Times New Roman"/>
          <w:b w:val="0"/>
          <w:sz w:val="28"/>
        </w:rPr>
        <w:t>Актуальность в работе обоснована через разрыв между декларируемой клиентоориентированностью и фактическими стимулами. Теоретическая проработка опирается на учебники и статьи с проверяемыми выходными данными. Методическая грамотность обеспечена алгоритмом анализа и инструментарием опроса. Экономическое обоснование дано через виды затрат, показатели и риски с возможностью последующей оцифровки. Практическая значимость выражена в приложениях, пригодных к использованию на объекте.</w:t>
      </w:r>
    </w:p>
    <w:p>
      <w:pPr>
        <w:spacing w:line="360" w:lineRule="auto"/>
        <w:ind w:firstLine="709"/>
        <w:jc w:val="both"/>
      </w:pPr>
      <w:r>
        <w:rPr>
          <w:rFonts w:ascii="Times New Roman" w:hAnsi="Times New Roman" w:eastAsia="Times New Roman"/>
          <w:b w:val="0"/>
          <w:sz w:val="28"/>
        </w:rPr>
        <w:t>Открытым остаётся контур первичных измерений конкретной организации. Это не дефект структуры, а граница данных, которую закрывает полевой этап: заполнение таблиц 4 и 6 и расчёт таблицы 8 в рублях.</w:t>
      </w:r>
    </w:p>
    <w:p>
      <w:pPr>
        <w:spacing w:line="360" w:lineRule="auto"/>
        <w:ind w:firstLine="709"/>
        <w:jc w:val="both"/>
      </w:pPr>
      <w:r>
        <w:rPr>
          <w:rFonts w:ascii="Times New Roman" w:hAnsi="Times New Roman" w:eastAsia="Times New Roman"/>
          <w:b w:val="0"/>
          <w:sz w:val="28"/>
        </w:rPr>
        <w:t>С точки зрения защиты работы полезно заранее подготовить краткие ответы на типовые вопросы: чем проблема отличается от темы; почему нельзя ограничиваться повышением оклада; как сервисные KPI защищены от накрутки; какие риски пилота наиболее вероятны и как они мониторятся.</w:t>
      </w:r>
    </w:p>
    <w:p>
      <w:pPr>
        <w:spacing w:line="360" w:lineRule="auto"/>
        <w:ind w:firstLine="709"/>
        <w:jc w:val="both"/>
      </w:pPr>
      <w:r>
        <w:rPr>
          <w:rFonts w:ascii="Times New Roman" w:hAnsi="Times New Roman" w:eastAsia="Times New Roman"/>
          <w:b w:val="0"/>
          <w:sz w:val="28"/>
        </w:rPr>
        <w:t>Сопротивление изменениям следует рассматривать как нормальный этап, а не как доказательство ошибочности идеи. Источники сопротивления: страх потери дохода, недоверие к измерениям, усталость от прошлых реформ. Инструменты снижения сопротивления: пилот, открытый расчёт примеров, участие неформальных лидеров, быстрые видимые победы в признании сервисных кейсов.</w:t>
      </w:r>
    </w:p>
    <w:p>
      <w:pPr>
        <w:spacing w:line="360" w:lineRule="auto"/>
        <w:ind w:firstLine="709"/>
        <w:jc w:val="both"/>
      </w:pPr>
      <w:r>
        <w:rPr>
          <w:rFonts w:ascii="Times New Roman" w:hAnsi="Times New Roman" w:eastAsia="Times New Roman"/>
          <w:b w:val="0"/>
          <w:sz w:val="28"/>
        </w:rPr>
        <w:t>После масштабирования система нуждается в ежегодном аудиту: не устарели ли веса KPI, не появились ли новые каналы обслуживания, не сместились ли мотивы персонала. Управление мотивацией в клиентоориентированной организации — это поддерживаемый процесс, а не разовый проект.</w:t>
      </w:r>
    </w:p>
    <w:p>
      <w:pPr>
        <w:spacing w:line="360" w:lineRule="auto"/>
        <w:ind w:firstLine="709"/>
        <w:jc w:val="both"/>
      </w:pPr>
      <w:r>
        <w:rPr>
          <w:rFonts w:ascii="Times New Roman" w:hAnsi="Times New Roman" w:eastAsia="Times New Roman"/>
          <w:b w:val="0"/>
          <w:sz w:val="28"/>
        </w:rPr>
        <w:t>Итоговое требование к внедрению совпадает с критериями оценки курсовой: методическая грамотность, обоснованность решений и практическая применимость. Предложенный пакет удовлетворяет этим критериям при условии заполнения первичных данных объекта.</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sz w:val="32"/>
        </w:rPr>
        <w:t>ЗАКЛЮЧЕНИЕ</w:t>
      </w:r>
    </w:p>
    <w:p>
      <w:pPr>
        <w:spacing w:line="360" w:lineRule="auto"/>
        <w:ind w:firstLine="709"/>
        <w:jc w:val="both"/>
      </w:pPr>
      <w:r>
        <w:rPr>
          <w:rFonts w:ascii="Times New Roman" w:hAnsi="Times New Roman" w:eastAsia="Times New Roman"/>
          <w:b w:val="0"/>
          <w:sz w:val="28"/>
        </w:rPr>
        <w:t>В первой главе систематизированы теоретические основы темы. Показано, что клиентоориентированность персонала включает знания, навыки, мотивацию, ценности и установки [7; 8]; трудовая мотивация описывается как внутренний процесс и как система внешних стимулов [1; 3; 4]; управление мотивацией представляет собой цикл от диагностики до мониторинга; предложена методика анализа, совместимая с требованиями дисциплины.</w:t>
      </w:r>
    </w:p>
    <w:p>
      <w:pPr>
        <w:spacing w:line="360" w:lineRule="auto"/>
        <w:ind w:firstLine="709"/>
        <w:jc w:val="both"/>
      </w:pPr>
      <w:r>
        <w:rPr>
          <w:rFonts w:ascii="Times New Roman" w:hAnsi="Times New Roman" w:eastAsia="Times New Roman"/>
          <w:b w:val="0"/>
          <w:sz w:val="28"/>
        </w:rPr>
        <w:t>Во второй главе выполнен аналитический разбор типовой клиентоориентированной организации клиентского сервиса. Выявлены структурные разрывы: несоответствие KPI отношенческим целям, дефицит полномочий, слабая роль нематериальных стимулов и обратной связи руководителя, недостаточность оценки клиентоориентированности. Построены аналитические таблицы-каркасы и SWOT в логике исследуемой проблемы. Граница достоверности соблюдена: вымышленные корпоративные цифры и «результаты опроса» не подставлялись.</w:t>
      </w:r>
    </w:p>
    <w:p>
      <w:pPr>
        <w:spacing w:line="360" w:lineRule="auto"/>
        <w:ind w:firstLine="709"/>
        <w:jc w:val="both"/>
      </w:pPr>
      <w:r>
        <w:rPr>
          <w:rFonts w:ascii="Times New Roman" w:hAnsi="Times New Roman" w:eastAsia="Times New Roman"/>
          <w:b w:val="0"/>
          <w:sz w:val="28"/>
        </w:rPr>
        <w:t>В третьей главе разработан комплекс мероприятий: сервисный блок KPI, регламент полномочий, обучение с закреплением, нематериальные стимулы, регулярная диагностика. Сформирована таблица задач, мероприятий, видов затрат, показателей результата и рисков; описаны условия внедрения и контур оценки.</w:t>
      </w:r>
    </w:p>
    <w:p>
      <w:pPr>
        <w:spacing w:line="360" w:lineRule="auto"/>
        <w:ind w:firstLine="709"/>
        <w:jc w:val="both"/>
      </w:pPr>
      <w:r>
        <w:rPr>
          <w:rFonts w:ascii="Times New Roman" w:hAnsi="Times New Roman" w:eastAsia="Times New Roman"/>
          <w:b w:val="0"/>
          <w:sz w:val="28"/>
        </w:rPr>
        <w:t>Цель работы достигнута в части обоснования направлений совершенствования на теоретической и аналитико-методической основе. Полная эмпирическая верификация на конкретном предприятии требует заполнения таблиц 4 и 6 по первичным данным и проведения опроса по приложению А. Это следующий практический шаг и одновременно способ усилить evidential base курсовой без нарушения требования достоверности.</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sz w:val="32"/>
        </w:rPr>
        <w:t>СПИСОК ИСПОЛЬЗОВАННЫХ ИСТОЧНИКОВ</w:t>
      </w:r>
    </w:p>
    <w:p>
      <w:pPr>
        <w:spacing w:line="360" w:lineRule="auto"/>
        <w:ind w:firstLine="709"/>
        <w:jc w:val="both"/>
      </w:pPr>
      <w:r>
        <w:rPr>
          <w:rFonts w:ascii="Times New Roman" w:hAnsi="Times New Roman" w:eastAsia="Times New Roman"/>
          <w:b w:val="0"/>
          <w:sz w:val="28"/>
        </w:rPr>
        <w:t>1. Мотивация и стимулирование трудовой деятельности : учебник / А. Я. Кибанов, И. А. Баткаева, Е. А. Митрофанова, М. В. Ловчева ; под ред. А. Я. Кибанова. — Москва : ИНФРА-М, 2015. — 524 с.</w:t>
      </w:r>
    </w:p>
    <w:p>
      <w:pPr>
        <w:spacing w:line="360" w:lineRule="auto"/>
        <w:ind w:firstLine="709"/>
        <w:jc w:val="both"/>
      </w:pPr>
      <w:r>
        <w:rPr>
          <w:rFonts w:ascii="Times New Roman" w:hAnsi="Times New Roman" w:eastAsia="Times New Roman"/>
          <w:b w:val="0"/>
          <w:sz w:val="28"/>
        </w:rPr>
        <w:t>2. Кибанов, А. Я. Основы управления персоналом : учебник / А. Я. Кибанов. — 3-е изд., перераб. и доп. — Москва : ИНФРА-М, 2019. — 440 с.</w:t>
      </w:r>
    </w:p>
    <w:p>
      <w:pPr>
        <w:spacing w:line="360" w:lineRule="auto"/>
        <w:ind w:firstLine="709"/>
        <w:jc w:val="both"/>
      </w:pPr>
      <w:r>
        <w:rPr>
          <w:rFonts w:ascii="Times New Roman" w:hAnsi="Times New Roman" w:eastAsia="Times New Roman"/>
          <w:b w:val="0"/>
          <w:sz w:val="28"/>
        </w:rPr>
        <w:t>3. Виханский, О. С. Менеджмент : учебник / О. С. Виханский, А. И. Наумов. — 3-е изд. — Москва : Экономистъ, 2003. — 528 с.</w:t>
      </w:r>
    </w:p>
    <w:p>
      <w:pPr>
        <w:spacing w:line="360" w:lineRule="auto"/>
        <w:ind w:firstLine="709"/>
        <w:jc w:val="both"/>
      </w:pPr>
      <w:r>
        <w:rPr>
          <w:rFonts w:ascii="Times New Roman" w:hAnsi="Times New Roman" w:eastAsia="Times New Roman"/>
          <w:b w:val="0"/>
          <w:sz w:val="28"/>
        </w:rPr>
        <w:t>4. Генкин, Б. М. Экономика и социология труда : учебник / Б. М. Генкин. — Москва : Норма, 2007. — 448 с.</w:t>
      </w:r>
    </w:p>
    <w:p>
      <w:pPr>
        <w:spacing w:line="360" w:lineRule="auto"/>
        <w:ind w:firstLine="709"/>
        <w:jc w:val="both"/>
      </w:pPr>
      <w:r>
        <w:rPr>
          <w:rFonts w:ascii="Times New Roman" w:hAnsi="Times New Roman" w:eastAsia="Times New Roman"/>
          <w:b w:val="0"/>
          <w:sz w:val="28"/>
        </w:rPr>
        <w:t>5. Шапиро, С. А. Основы управления персоналом в современных организациях : уникальный подход, обеспечивающий эффективную работу компании / С. А. Шапиро. — Москва : ГроссМедиа, 2005. — 206 с.</w:t>
      </w:r>
    </w:p>
    <w:p>
      <w:pPr>
        <w:spacing w:line="360" w:lineRule="auto"/>
        <w:ind w:firstLine="709"/>
        <w:jc w:val="both"/>
      </w:pPr>
      <w:r>
        <w:rPr>
          <w:rFonts w:ascii="Times New Roman" w:hAnsi="Times New Roman" w:eastAsia="Times New Roman"/>
          <w:b w:val="0"/>
          <w:sz w:val="28"/>
        </w:rPr>
        <w:t>6. Егоршин, А. П. Мотивация трудовой деятельности : учебное пособие / А. П. Егоршин. — Нижний Новгород : НИМБ, 2003. — 320 с.</w:t>
      </w:r>
    </w:p>
    <w:p>
      <w:pPr>
        <w:spacing w:line="360" w:lineRule="auto"/>
        <w:ind w:firstLine="709"/>
        <w:jc w:val="both"/>
      </w:pPr>
      <w:r>
        <w:rPr>
          <w:rFonts w:ascii="Times New Roman" w:hAnsi="Times New Roman" w:eastAsia="Times New Roman"/>
          <w:b w:val="0"/>
          <w:sz w:val="28"/>
        </w:rPr>
        <w:t>7. Апенько, С. Н. Клиентоориентированность персонала в концепции маркетинга отношений / С. Н. Апенько, М. Н. Шавровская // Вестник Омского университета. Серия «Экономика». — 2010. — № 2. — С. 50–56.</w:t>
      </w:r>
    </w:p>
    <w:p>
      <w:pPr>
        <w:spacing w:line="360" w:lineRule="auto"/>
        <w:ind w:firstLine="709"/>
        <w:jc w:val="both"/>
      </w:pPr>
      <w:r>
        <w:rPr>
          <w:rFonts w:ascii="Times New Roman" w:hAnsi="Times New Roman" w:eastAsia="Times New Roman"/>
          <w:b w:val="0"/>
          <w:sz w:val="28"/>
        </w:rPr>
        <w:t>8. Шавровская, М. Н. Теоретические основы формирования и оценки клиентоориентированности персонала / М. Н. Шавровская // Дискуссия. — 2011. — № 9 (17). — С. 62–66.</w:t>
      </w:r>
    </w:p>
    <w:p>
      <w:pPr>
        <w:spacing w:line="360" w:lineRule="auto"/>
        <w:ind w:firstLine="709"/>
        <w:jc w:val="both"/>
      </w:pPr>
      <w:r>
        <w:rPr>
          <w:rFonts w:ascii="Times New Roman" w:hAnsi="Times New Roman" w:eastAsia="Times New Roman"/>
          <w:b w:val="0"/>
          <w:sz w:val="28"/>
        </w:rPr>
        <w:t>9. Домашенко, Л. С. Влияние системы мотивации сотрудников в компании на их клиентоориентированность / Л. С. Домашенко // Молодой ученый. — 2023. — № 40 (487). — С. 86–90. — URL: https://moluch.ru/archive/487/106401 (дата обращения: 22.10.2026).</w:t>
      </w:r>
    </w:p>
    <w:p>
      <w:pPr>
        <w:spacing w:line="360" w:lineRule="auto"/>
        <w:ind w:firstLine="709"/>
        <w:jc w:val="both"/>
      </w:pPr>
      <w:r>
        <w:rPr>
          <w:rFonts w:ascii="Times New Roman" w:hAnsi="Times New Roman" w:eastAsia="Times New Roman"/>
          <w:b w:val="0"/>
          <w:sz w:val="28"/>
        </w:rPr>
        <w:t>10. Романов, Т. Р. О стимулировании клиентоориентированности работников банка / Т. Р. Романов // Идеи и идеалы. — 2017. — Т. 2, № 4. — С. 77–84. — DOI: 10.17212/2075-0862-2017-4.2-77-84.</w:t>
      </w:r>
    </w:p>
    <w:p>
      <w:pPr>
        <w:spacing w:line="360" w:lineRule="auto"/>
        <w:ind w:firstLine="709"/>
        <w:jc w:val="both"/>
      </w:pPr>
      <w:r>
        <w:rPr>
          <w:rFonts w:ascii="Times New Roman" w:hAnsi="Times New Roman" w:eastAsia="Times New Roman"/>
          <w:b w:val="0"/>
          <w:sz w:val="28"/>
        </w:rPr>
        <w:t>11. Забродина, В. Ю. Ключевые факторы мотивации персонала: исследование на примере современных организаций / В. Ю. Забродина, Н. М. Шленская, Т. А. Лагутцева-Ногина // Мир науки. Педагогика и психология. — 2023. — Т. 11, № 4. — URL: https://mir-nauki.com (дата обращения: 22.10.2026).</w:t>
      </w:r>
    </w:p>
    <w:p>
      <w:pPr>
        <w:spacing w:line="360" w:lineRule="auto"/>
        <w:ind w:firstLine="709"/>
        <w:jc w:val="both"/>
      </w:pPr>
      <w:r>
        <w:rPr>
          <w:rFonts w:ascii="Times New Roman" w:hAnsi="Times New Roman" w:eastAsia="Times New Roman"/>
          <w:b w:val="0"/>
          <w:sz w:val="28"/>
        </w:rPr>
        <w:t>12. Бойко, Ю. И. Мотивация и стимулирование труда как объективный фактор повышения конкурентоспособности предприятия в условиях становления и развития рыночных отношений / Ю. И. Бойко, М. А. Коробкина // Научно-методический электронный журнал «Концепт». — 2016. — URL: https://e-koncept.ru/2016/46061.htm (дата обращения: 22.10.2026).</w:t>
      </w:r>
    </w:p>
    <w:p>
      <w:pPr>
        <w:spacing w:line="360" w:lineRule="auto"/>
        <w:ind w:firstLine="709"/>
        <w:jc w:val="both"/>
      </w:pPr>
      <w:r>
        <w:rPr>
          <w:rFonts w:ascii="Times New Roman" w:hAnsi="Times New Roman" w:eastAsia="Times New Roman"/>
          <w:b w:val="0"/>
          <w:sz w:val="28"/>
        </w:rPr>
        <w:t>13. Трудовой кодекс Российской Федерации : федеральный закон от 30.12.2001 № 197-ФЗ : в ред., действующей на дату обращения // Официальный интернет-портал правовой информации. — URL: http://pravo.gov.ru/ (дата обращения: 22.10.2026).</w:t>
      </w:r>
    </w:p>
    <w:p>
      <w:pPr>
        <w:spacing w:line="360" w:lineRule="auto"/>
        <w:ind w:firstLine="709"/>
        <w:jc w:val="both"/>
      </w:pPr>
      <w:r>
        <w:rPr>
          <w:rFonts w:ascii="Times New Roman" w:hAnsi="Times New Roman" w:eastAsia="Times New Roman"/>
          <w:b w:val="0"/>
          <w:sz w:val="28"/>
        </w:rPr>
        <w:t>14. Ребров, А. В. Мотивация и оплата труда. Современные модели и технологии : учебное пособие / А. В. Ребров. — Москва : ИНФРА-М, 2019. — 346 с.</w:t>
      </w:r>
    </w:p>
    <w:p>
      <w:pPr>
        <w:spacing w:line="360" w:lineRule="auto"/>
        <w:ind w:firstLine="709"/>
        <w:jc w:val="both"/>
      </w:pPr>
      <w:r>
        <w:rPr>
          <w:rFonts w:ascii="Times New Roman" w:hAnsi="Times New Roman" w:eastAsia="Times New Roman"/>
          <w:b w:val="0"/>
          <w:sz w:val="28"/>
        </w:rPr>
        <w:t>15. Методические рекомендации по выполнению курсовой работы по дисциплине «Управление взаимоотношениями с потребителями» / ФГБОУ ВО «Уральский государственный экономический университет», кафедра экономики предприятий. — Екатеринбург, [б. г.].</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sz w:val="32"/>
        </w:rPr>
        <w:t>ПРИЛОЖЕНИЕ А. АНКЕТА ДЛЯ ОПРОСА ПЕРСОНАЛА</w:t>
      </w:r>
    </w:p>
    <w:p>
      <w:pPr>
        <w:spacing w:line="360" w:lineRule="auto"/>
        <w:ind w:firstLine="709"/>
        <w:jc w:val="both"/>
      </w:pPr>
      <w:r>
        <w:rPr>
          <w:rFonts w:ascii="Times New Roman" w:hAnsi="Times New Roman" w:eastAsia="Times New Roman"/>
          <w:b w:val="0"/>
          <w:sz w:val="28"/>
        </w:rPr>
        <w:t>Цель опроса — выявить значимость факторов трудовой мотивации и оценить, насколько действующая система стимулирования поддерживает клиентоориентированное поведение. Опрос анонимный. Результаты используются только в обобщённом виде.</w:t>
      </w:r>
    </w:p>
    <w:p>
      <w:pPr>
        <w:spacing w:line="360" w:lineRule="auto"/>
        <w:ind w:firstLine="709"/>
        <w:jc w:val="both"/>
      </w:pPr>
      <w:r>
        <w:rPr>
          <w:rFonts w:ascii="Times New Roman" w:hAnsi="Times New Roman" w:eastAsia="Times New Roman"/>
          <w:b/>
          <w:sz w:val="28"/>
        </w:rPr>
        <w:t>Блок 1. Общие сведения (без ФИО)</w:t>
      </w:r>
    </w:p>
    <w:p>
      <w:pPr>
        <w:spacing w:line="360" w:lineRule="auto"/>
        <w:ind w:firstLine="709"/>
        <w:jc w:val="both"/>
      </w:pPr>
      <w:r>
        <w:rPr>
          <w:rFonts w:ascii="Times New Roman" w:hAnsi="Times New Roman" w:eastAsia="Times New Roman"/>
          <w:b w:val="0"/>
          <w:sz w:val="28"/>
        </w:rPr>
        <w:t>1. Подразделение / роль: контакт с клиентами ежедневно / иногда / нет.</w:t>
      </w:r>
    </w:p>
    <w:p>
      <w:pPr>
        <w:spacing w:line="360" w:lineRule="auto"/>
        <w:ind w:firstLine="709"/>
        <w:jc w:val="both"/>
      </w:pPr>
      <w:r>
        <w:rPr>
          <w:rFonts w:ascii="Times New Roman" w:hAnsi="Times New Roman" w:eastAsia="Times New Roman"/>
          <w:b w:val="0"/>
          <w:sz w:val="28"/>
        </w:rPr>
        <w:t>2. Стаж в организации: до 1 года / 1–3 / 3–5 / более 5 лет.</w:t>
      </w:r>
    </w:p>
    <w:p>
      <w:pPr>
        <w:spacing w:line="360" w:lineRule="auto"/>
        <w:ind w:firstLine="709"/>
        <w:jc w:val="both"/>
      </w:pPr>
      <w:r>
        <w:rPr>
          <w:rFonts w:ascii="Times New Roman" w:hAnsi="Times New Roman" w:eastAsia="Times New Roman"/>
          <w:b/>
          <w:sz w:val="28"/>
        </w:rPr>
        <w:t>Блок 2. Значимость факторов (оцените от 1 до 5, где 5 — очень важно)</w:t>
      </w:r>
    </w:p>
    <w:p>
      <w:pPr>
        <w:spacing w:line="360" w:lineRule="auto"/>
        <w:ind w:firstLine="709"/>
        <w:jc w:val="both"/>
      </w:pPr>
      <w:r>
        <w:rPr>
          <w:rFonts w:ascii="Times New Roman" w:hAnsi="Times New Roman" w:eastAsia="Times New Roman"/>
          <w:b w:val="0"/>
          <w:sz w:val="28"/>
        </w:rPr>
        <w:t>3. Уровень оплаты труда: 1  2  3  4  5</w:t>
      </w:r>
    </w:p>
    <w:p>
      <w:pPr>
        <w:spacing w:line="360" w:lineRule="auto"/>
        <w:ind w:firstLine="709"/>
        <w:jc w:val="both"/>
      </w:pPr>
      <w:r>
        <w:rPr>
          <w:rFonts w:ascii="Times New Roman" w:hAnsi="Times New Roman" w:eastAsia="Times New Roman"/>
          <w:b w:val="0"/>
          <w:sz w:val="28"/>
        </w:rPr>
        <w:t>4. Справедливость и понятность премирования: 1  2  3  4  5</w:t>
      </w:r>
    </w:p>
    <w:p>
      <w:pPr>
        <w:spacing w:line="360" w:lineRule="auto"/>
        <w:ind w:firstLine="709"/>
        <w:jc w:val="both"/>
      </w:pPr>
      <w:r>
        <w:rPr>
          <w:rFonts w:ascii="Times New Roman" w:hAnsi="Times New Roman" w:eastAsia="Times New Roman"/>
          <w:b w:val="0"/>
          <w:sz w:val="28"/>
        </w:rPr>
        <w:t>5. Условия и организация труда: 1  2  3  4  5</w:t>
      </w:r>
    </w:p>
    <w:p>
      <w:pPr>
        <w:spacing w:line="360" w:lineRule="auto"/>
        <w:ind w:firstLine="709"/>
        <w:jc w:val="both"/>
      </w:pPr>
      <w:r>
        <w:rPr>
          <w:rFonts w:ascii="Times New Roman" w:hAnsi="Times New Roman" w:eastAsia="Times New Roman"/>
          <w:b w:val="0"/>
          <w:sz w:val="28"/>
        </w:rPr>
        <w:t>6. Отношения с непосредственным руководителем: 1  2  3  4  5</w:t>
      </w:r>
    </w:p>
    <w:p>
      <w:pPr>
        <w:spacing w:line="360" w:lineRule="auto"/>
        <w:ind w:firstLine="709"/>
        <w:jc w:val="both"/>
      </w:pPr>
      <w:r>
        <w:rPr>
          <w:rFonts w:ascii="Times New Roman" w:hAnsi="Times New Roman" w:eastAsia="Times New Roman"/>
          <w:b w:val="0"/>
          <w:sz w:val="28"/>
        </w:rPr>
        <w:t>7. Возможности обучения и развития: 1  2  3  4  5</w:t>
      </w:r>
    </w:p>
    <w:p>
      <w:pPr>
        <w:spacing w:line="360" w:lineRule="auto"/>
        <w:ind w:firstLine="709"/>
        <w:jc w:val="both"/>
      </w:pPr>
      <w:r>
        <w:rPr>
          <w:rFonts w:ascii="Times New Roman" w:hAnsi="Times New Roman" w:eastAsia="Times New Roman"/>
          <w:b w:val="0"/>
          <w:sz w:val="28"/>
        </w:rPr>
        <w:t>8. Карьерные перспективы: 1  2  3  4  5</w:t>
      </w:r>
    </w:p>
    <w:p>
      <w:pPr>
        <w:spacing w:line="360" w:lineRule="auto"/>
        <w:ind w:firstLine="709"/>
        <w:jc w:val="both"/>
      </w:pPr>
      <w:r>
        <w:rPr>
          <w:rFonts w:ascii="Times New Roman" w:hAnsi="Times New Roman" w:eastAsia="Times New Roman"/>
          <w:b w:val="0"/>
          <w:sz w:val="28"/>
        </w:rPr>
        <w:t>9. Признание качества обслуживания клиентов: 1  2  3  4  5</w:t>
      </w:r>
    </w:p>
    <w:p>
      <w:pPr>
        <w:spacing w:line="360" w:lineRule="auto"/>
        <w:ind w:firstLine="709"/>
        <w:jc w:val="both"/>
      </w:pPr>
      <w:r>
        <w:rPr>
          <w:rFonts w:ascii="Times New Roman" w:hAnsi="Times New Roman" w:eastAsia="Times New Roman"/>
          <w:b w:val="0"/>
          <w:sz w:val="28"/>
        </w:rPr>
        <w:t>10. Полномочия решать вопросы клиента без лишних согласований: 1  2  3  4  5</w:t>
      </w:r>
    </w:p>
    <w:p>
      <w:pPr>
        <w:spacing w:line="360" w:lineRule="auto"/>
        <w:ind w:firstLine="709"/>
        <w:jc w:val="both"/>
      </w:pPr>
      <w:r>
        <w:rPr>
          <w:rFonts w:ascii="Times New Roman" w:hAnsi="Times New Roman" w:eastAsia="Times New Roman"/>
          <w:b w:val="0"/>
          <w:sz w:val="28"/>
        </w:rPr>
        <w:t>11. Стабильность занятости: 1  2  3  4  5</w:t>
      </w:r>
    </w:p>
    <w:p>
      <w:pPr>
        <w:spacing w:line="360" w:lineRule="auto"/>
        <w:ind w:firstLine="709"/>
        <w:jc w:val="both"/>
      </w:pPr>
      <w:r>
        <w:rPr>
          <w:rFonts w:ascii="Times New Roman" w:hAnsi="Times New Roman" w:eastAsia="Times New Roman"/>
          <w:b w:val="0"/>
          <w:sz w:val="28"/>
        </w:rPr>
        <w:t>12. Атмосфера в коллективе: 1  2  3  4  5</w:t>
      </w:r>
    </w:p>
    <w:p>
      <w:pPr>
        <w:spacing w:line="360" w:lineRule="auto"/>
        <w:ind w:firstLine="709"/>
        <w:jc w:val="both"/>
      </w:pPr>
      <w:r>
        <w:rPr>
          <w:rFonts w:ascii="Times New Roman" w:hAnsi="Times New Roman" w:eastAsia="Times New Roman"/>
          <w:b/>
          <w:sz w:val="28"/>
        </w:rPr>
        <w:t>Блок 3. Клиентоориентированность системы стимулов</w:t>
      </w:r>
    </w:p>
    <w:p>
      <w:pPr>
        <w:spacing w:line="360" w:lineRule="auto"/>
        <w:ind w:firstLine="709"/>
        <w:jc w:val="both"/>
      </w:pPr>
      <w:r>
        <w:rPr>
          <w:rFonts w:ascii="Times New Roman" w:hAnsi="Times New Roman" w:eastAsia="Times New Roman"/>
          <w:b w:val="0"/>
          <w:sz w:val="28"/>
        </w:rPr>
        <w:t>13. Понятно ли вам, какое поведение по отношению к клиенту поощряется материально? да / скорее да / скорее нет / нет</w:t>
      </w:r>
    </w:p>
    <w:p>
      <w:pPr>
        <w:spacing w:line="360" w:lineRule="auto"/>
        <w:ind w:firstLine="709"/>
        <w:jc w:val="both"/>
      </w:pPr>
      <w:r>
        <w:rPr>
          <w:rFonts w:ascii="Times New Roman" w:hAnsi="Times New Roman" w:eastAsia="Times New Roman"/>
          <w:b w:val="0"/>
          <w:sz w:val="28"/>
        </w:rPr>
        <w:t>14. Бывает ли так, что выполнить план важнее, чем качественно помочь клиенту? часто / иногда / редко / никогда</w:t>
      </w:r>
    </w:p>
    <w:p>
      <w:pPr>
        <w:spacing w:line="360" w:lineRule="auto"/>
        <w:ind w:firstLine="709"/>
        <w:jc w:val="both"/>
      </w:pPr>
      <w:r>
        <w:rPr>
          <w:rFonts w:ascii="Times New Roman" w:hAnsi="Times New Roman" w:eastAsia="Times New Roman"/>
          <w:b w:val="0"/>
          <w:sz w:val="28"/>
        </w:rPr>
        <w:t>15. Достаточно ли у вас полномочий, чтобы решить типовую проблему клиента? да / частично / нет</w:t>
      </w:r>
    </w:p>
    <w:p>
      <w:pPr>
        <w:spacing w:line="360" w:lineRule="auto"/>
        <w:ind w:firstLine="709"/>
        <w:jc w:val="both"/>
      </w:pPr>
      <w:r>
        <w:rPr>
          <w:rFonts w:ascii="Times New Roman" w:hAnsi="Times New Roman" w:eastAsia="Times New Roman"/>
          <w:b w:val="0"/>
          <w:sz w:val="28"/>
        </w:rPr>
        <w:t>16. Получаете ли вы регулярную обратную связь руководителя по качеству работы с клиентами? да / иногда / нет</w:t>
      </w:r>
    </w:p>
    <w:p>
      <w:pPr>
        <w:spacing w:line="360" w:lineRule="auto"/>
        <w:ind w:firstLine="709"/>
        <w:jc w:val="both"/>
      </w:pPr>
      <w:r>
        <w:rPr>
          <w:rFonts w:ascii="Times New Roman" w:hAnsi="Times New Roman" w:eastAsia="Times New Roman"/>
          <w:b/>
          <w:sz w:val="28"/>
        </w:rPr>
        <w:t>Блок 4. Открытые вопросы</w:t>
      </w:r>
    </w:p>
    <w:p>
      <w:pPr>
        <w:spacing w:line="360" w:lineRule="auto"/>
        <w:ind w:firstLine="709"/>
        <w:jc w:val="both"/>
      </w:pPr>
      <w:r>
        <w:rPr>
          <w:rFonts w:ascii="Times New Roman" w:hAnsi="Times New Roman" w:eastAsia="Times New Roman"/>
          <w:b w:val="0"/>
          <w:sz w:val="28"/>
        </w:rPr>
        <w:t>17. Что в системе мотивации сильнее всего мешает хорошо обслуживать клиентов?</w:t>
      </w:r>
    </w:p>
    <w:p>
      <w:pPr>
        <w:spacing w:line="360" w:lineRule="auto"/>
        <w:ind w:firstLine="709"/>
        <w:jc w:val="both"/>
      </w:pPr>
      <w:r>
        <w:rPr>
          <w:rFonts w:ascii="Times New Roman" w:hAnsi="Times New Roman" w:eastAsia="Times New Roman"/>
          <w:b w:val="0"/>
          <w:sz w:val="28"/>
        </w:rPr>
        <w:t>18. Какое изменение стимулов дало бы наибольший эффект в ближайшие 6 месяцев?</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sz w:val="32"/>
        </w:rPr>
        <w:t>ПРИЛОЖЕНИЕ Б. МАТРИЦА УВЯЗКИ СТИМУЛОВ С ПОКАЗАТЕЛЯМИ КЛИЕНТООРИЕНТИРОВАННОСТИ</w:t>
      </w:r>
    </w:p>
    <w:p>
      <w:pPr>
        <w:spacing w:line="360" w:lineRule="auto"/>
        <w:ind w:firstLine="0"/>
        <w:jc w:val="center"/>
      </w:pPr>
      <w:r>
        <w:rPr>
          <w:rFonts w:ascii="Times New Roman" w:hAnsi="Times New Roman" w:eastAsia="Times New Roman"/>
          <w:b w:val="0"/>
          <w:sz w:val="24"/>
        </w:rPr>
        <w:t>Таблица Б.1 – Матрица «стимул — поведение — показатель»</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eastAsia="Times New Roman"/>
                <w:b/>
                <w:sz w:val="20"/>
              </w:rPr>
              <w:t>Стимул</w:t>
            </w:r>
          </w:p>
        </w:tc>
        <w:tc>
          <w:tcPr>
            <w:tcW w:type="dxa" w:w="2339"/>
          </w:tcPr>
          <w:p>
            <w:r/>
            <w:r>
              <w:rPr>
                <w:rFonts w:ascii="Times New Roman" w:hAnsi="Times New Roman" w:eastAsia="Times New Roman"/>
                <w:b/>
                <w:sz w:val="20"/>
              </w:rPr>
              <w:t>Желаемое поведение</w:t>
            </w:r>
          </w:p>
        </w:tc>
        <w:tc>
          <w:tcPr>
            <w:tcW w:type="dxa" w:w="2339"/>
          </w:tcPr>
          <w:p>
            <w:r/>
            <w:r>
              <w:rPr>
                <w:rFonts w:ascii="Times New Roman" w:hAnsi="Times New Roman" w:eastAsia="Times New Roman"/>
                <w:b/>
                <w:sz w:val="20"/>
              </w:rPr>
              <w:t>Показатель контроля</w:t>
            </w:r>
          </w:p>
        </w:tc>
        <w:tc>
          <w:tcPr>
            <w:tcW w:type="dxa" w:w="2339"/>
          </w:tcPr>
          <w:p>
            <w:r/>
            <w:r>
              <w:rPr>
                <w:rFonts w:ascii="Times New Roman" w:hAnsi="Times New Roman" w:eastAsia="Times New Roman"/>
                <w:b/>
                <w:sz w:val="20"/>
              </w:rPr>
              <w:t>Период оценки</w:t>
            </w:r>
          </w:p>
        </w:tc>
      </w:tr>
      <w:tr>
        <w:tc>
          <w:tcPr>
            <w:tcW w:type="dxa" w:w="2339"/>
          </w:tcPr>
          <w:p>
            <w:r/>
            <w:r>
              <w:rPr>
                <w:rFonts w:ascii="Times New Roman" w:hAnsi="Times New Roman" w:eastAsia="Times New Roman"/>
                <w:b w:val="0"/>
                <w:sz w:val="20"/>
              </w:rPr>
              <w:t>Премия за сервисный блок KPI</w:t>
            </w:r>
          </w:p>
        </w:tc>
        <w:tc>
          <w:tcPr>
            <w:tcW w:type="dxa" w:w="2339"/>
          </w:tcPr>
          <w:p>
            <w:r/>
            <w:r>
              <w:rPr>
                <w:rFonts w:ascii="Times New Roman" w:hAnsi="Times New Roman" w:eastAsia="Times New Roman"/>
                <w:b w:val="0"/>
                <w:sz w:val="20"/>
              </w:rPr>
              <w:t>Качественный диалог, решение потребности</w:t>
            </w:r>
          </w:p>
        </w:tc>
        <w:tc>
          <w:tcPr>
            <w:tcW w:type="dxa" w:w="2339"/>
          </w:tcPr>
          <w:p>
            <w:r/>
            <w:r>
              <w:rPr>
                <w:rFonts w:ascii="Times New Roman" w:hAnsi="Times New Roman" w:eastAsia="Times New Roman"/>
                <w:b w:val="0"/>
                <w:sz w:val="20"/>
              </w:rPr>
              <w:t>CSI / оценка качества / доля повторных жалоб</w:t>
            </w:r>
          </w:p>
        </w:tc>
        <w:tc>
          <w:tcPr>
            <w:tcW w:type="dxa" w:w="2339"/>
          </w:tcPr>
          <w:p>
            <w:r/>
            <w:r>
              <w:rPr>
                <w:rFonts w:ascii="Times New Roman" w:hAnsi="Times New Roman" w:eastAsia="Times New Roman"/>
                <w:b w:val="0"/>
                <w:sz w:val="20"/>
              </w:rPr>
              <w:t>Ежемесячно</w:t>
            </w:r>
          </w:p>
        </w:tc>
      </w:tr>
      <w:tr>
        <w:tc>
          <w:tcPr>
            <w:tcW w:type="dxa" w:w="2339"/>
          </w:tcPr>
          <w:p>
            <w:r/>
            <w:r>
              <w:rPr>
                <w:rFonts w:ascii="Times New Roman" w:hAnsi="Times New Roman" w:eastAsia="Times New Roman"/>
                <w:b w:val="0"/>
                <w:sz w:val="20"/>
              </w:rPr>
              <w:t>Лимит полномочий на компенсацию</w:t>
            </w:r>
          </w:p>
        </w:tc>
        <w:tc>
          <w:tcPr>
            <w:tcW w:type="dxa" w:w="2339"/>
          </w:tcPr>
          <w:p>
            <w:r/>
            <w:r>
              <w:rPr>
                <w:rFonts w:ascii="Times New Roman" w:hAnsi="Times New Roman" w:eastAsia="Times New Roman"/>
                <w:b w:val="0"/>
                <w:sz w:val="20"/>
              </w:rPr>
              <w:t>Быстрое решение сбоя</w:t>
            </w:r>
          </w:p>
        </w:tc>
        <w:tc>
          <w:tcPr>
            <w:tcW w:type="dxa" w:w="2339"/>
          </w:tcPr>
          <w:p>
            <w:r/>
            <w:r>
              <w:rPr>
                <w:rFonts w:ascii="Times New Roman" w:hAnsi="Times New Roman" w:eastAsia="Times New Roman"/>
                <w:b w:val="0"/>
                <w:sz w:val="20"/>
              </w:rPr>
              <w:t>Доля решений на 1-м уровне</w:t>
            </w:r>
          </w:p>
        </w:tc>
        <w:tc>
          <w:tcPr>
            <w:tcW w:type="dxa" w:w="2339"/>
          </w:tcPr>
          <w:p>
            <w:r/>
            <w:r>
              <w:rPr>
                <w:rFonts w:ascii="Times New Roman" w:hAnsi="Times New Roman" w:eastAsia="Times New Roman"/>
                <w:b w:val="0"/>
                <w:sz w:val="20"/>
              </w:rPr>
              <w:t>Ежемесячно</w:t>
            </w:r>
          </w:p>
        </w:tc>
      </w:tr>
      <w:tr>
        <w:tc>
          <w:tcPr>
            <w:tcW w:type="dxa" w:w="2339"/>
          </w:tcPr>
          <w:p>
            <w:r/>
            <w:r>
              <w:rPr>
                <w:rFonts w:ascii="Times New Roman" w:hAnsi="Times New Roman" w:eastAsia="Times New Roman"/>
                <w:b w:val="0"/>
                <w:sz w:val="20"/>
              </w:rPr>
              <w:t>Публичное признание кейса</w:t>
            </w:r>
          </w:p>
        </w:tc>
        <w:tc>
          <w:tcPr>
            <w:tcW w:type="dxa" w:w="2339"/>
          </w:tcPr>
          <w:p>
            <w:r/>
            <w:r>
              <w:rPr>
                <w:rFonts w:ascii="Times New Roman" w:hAnsi="Times New Roman" w:eastAsia="Times New Roman"/>
                <w:b w:val="0"/>
                <w:sz w:val="20"/>
              </w:rPr>
              <w:t>Обмен лучшими практиками</w:t>
            </w:r>
          </w:p>
        </w:tc>
        <w:tc>
          <w:tcPr>
            <w:tcW w:type="dxa" w:w="2339"/>
          </w:tcPr>
          <w:p>
            <w:r/>
            <w:r>
              <w:rPr>
                <w:rFonts w:ascii="Times New Roman" w:hAnsi="Times New Roman" w:eastAsia="Times New Roman"/>
                <w:b w:val="0"/>
                <w:sz w:val="20"/>
              </w:rPr>
              <w:t>Число разобранных эталонных кейсов</w:t>
            </w:r>
          </w:p>
        </w:tc>
        <w:tc>
          <w:tcPr>
            <w:tcW w:type="dxa" w:w="2339"/>
          </w:tcPr>
          <w:p>
            <w:r/>
            <w:r>
              <w:rPr>
                <w:rFonts w:ascii="Times New Roman" w:hAnsi="Times New Roman" w:eastAsia="Times New Roman"/>
                <w:b w:val="0"/>
                <w:sz w:val="20"/>
              </w:rPr>
              <w:t>Ежемесячно</w:t>
            </w:r>
          </w:p>
        </w:tc>
      </w:tr>
      <w:tr>
        <w:tc>
          <w:tcPr>
            <w:tcW w:type="dxa" w:w="2339"/>
          </w:tcPr>
          <w:p>
            <w:r/>
            <w:r>
              <w:rPr>
                <w:rFonts w:ascii="Times New Roman" w:hAnsi="Times New Roman" w:eastAsia="Times New Roman"/>
                <w:b w:val="0"/>
                <w:sz w:val="20"/>
              </w:rPr>
              <w:t>Оплата обучения + допуск к сложным клиентам</w:t>
            </w:r>
          </w:p>
        </w:tc>
        <w:tc>
          <w:tcPr>
            <w:tcW w:type="dxa" w:w="2339"/>
          </w:tcPr>
          <w:p>
            <w:r/>
            <w:r>
              <w:rPr>
                <w:rFonts w:ascii="Times New Roman" w:hAnsi="Times New Roman" w:eastAsia="Times New Roman"/>
                <w:b w:val="0"/>
                <w:sz w:val="20"/>
              </w:rPr>
              <w:t>Рост мастерства</w:t>
            </w:r>
          </w:p>
        </w:tc>
        <w:tc>
          <w:tcPr>
            <w:tcW w:type="dxa" w:w="2339"/>
          </w:tcPr>
          <w:p>
            <w:r/>
            <w:r>
              <w:rPr>
                <w:rFonts w:ascii="Times New Roman" w:hAnsi="Times New Roman" w:eastAsia="Times New Roman"/>
                <w:b w:val="0"/>
                <w:sz w:val="20"/>
              </w:rPr>
              <w:t>% сотрудников с подтверждённой компетенцией</w:t>
            </w:r>
          </w:p>
        </w:tc>
        <w:tc>
          <w:tcPr>
            <w:tcW w:type="dxa" w:w="2339"/>
          </w:tcPr>
          <w:p>
            <w:r/>
            <w:r>
              <w:rPr>
                <w:rFonts w:ascii="Times New Roman" w:hAnsi="Times New Roman" w:eastAsia="Times New Roman"/>
                <w:b w:val="0"/>
                <w:sz w:val="20"/>
              </w:rPr>
              <w:t>Ежеквартально</w:t>
            </w:r>
          </w:p>
        </w:tc>
      </w:tr>
      <w:tr>
        <w:tc>
          <w:tcPr>
            <w:tcW w:type="dxa" w:w="2339"/>
          </w:tcPr>
          <w:p>
            <w:r/>
            <w:r>
              <w:rPr>
                <w:rFonts w:ascii="Times New Roman" w:hAnsi="Times New Roman" w:eastAsia="Times New Roman"/>
                <w:b w:val="0"/>
                <w:sz w:val="20"/>
              </w:rPr>
              <w:t>Карьерный трек «эксперт сервиса»</w:t>
            </w:r>
          </w:p>
        </w:tc>
        <w:tc>
          <w:tcPr>
            <w:tcW w:type="dxa" w:w="2339"/>
          </w:tcPr>
          <w:p>
            <w:r/>
            <w:r>
              <w:rPr>
                <w:rFonts w:ascii="Times New Roman" w:hAnsi="Times New Roman" w:eastAsia="Times New Roman"/>
                <w:b w:val="0"/>
                <w:sz w:val="20"/>
              </w:rPr>
              <w:t>Удержание сильных сотрудников</w:t>
            </w:r>
          </w:p>
        </w:tc>
        <w:tc>
          <w:tcPr>
            <w:tcW w:type="dxa" w:w="2339"/>
          </w:tcPr>
          <w:p>
            <w:r/>
            <w:r>
              <w:rPr>
                <w:rFonts w:ascii="Times New Roman" w:hAnsi="Times New Roman" w:eastAsia="Times New Roman"/>
                <w:b w:val="0"/>
                <w:sz w:val="20"/>
              </w:rPr>
              <w:t>Текучесть в топ-квартиле по оценке сервиса</w:t>
            </w:r>
          </w:p>
        </w:tc>
        <w:tc>
          <w:tcPr>
            <w:tcW w:type="dxa" w:w="2339"/>
          </w:tcPr>
          <w:p>
            <w:r/>
            <w:r>
              <w:rPr>
                <w:rFonts w:ascii="Times New Roman" w:hAnsi="Times New Roman" w:eastAsia="Times New Roman"/>
                <w:b w:val="0"/>
                <w:sz w:val="20"/>
              </w:rPr>
              <w:t>Ежеквартально</w:t>
            </w:r>
          </w:p>
        </w:tc>
      </w:tr>
    </w:tbl>
    <w:p/>
    <w:p>
      <w:pPr>
        <w:spacing w:line="360" w:lineRule="auto"/>
        <w:ind w:firstLine="0"/>
        <w:jc w:val="left"/>
      </w:pPr>
      <w:r>
        <w:rPr>
          <w:rFonts w:ascii="Times New Roman" w:hAnsi="Times New Roman" w:eastAsia="Times New Roman"/>
          <w:b w:val="0"/>
          <w:sz w:val="28"/>
        </w:rPr>
      </w:r>
    </w:p>
    <w:p>
      <w:pPr>
        <w:spacing w:line="360" w:lineRule="auto"/>
        <w:ind w:firstLine="709"/>
        <w:jc w:val="both"/>
      </w:pPr>
      <w:r>
        <w:rPr>
          <w:rFonts w:ascii="Times New Roman" w:hAnsi="Times New Roman" w:eastAsia="Times New Roman"/>
          <w:b w:val="0"/>
          <w:sz w:val="28"/>
        </w:rPr>
        <w:t>Матрица предназначена для встраивания в положение о премировании и в регламент оценки персонала. Конкретные целевые значения показателей устанавливаются по базе объекта после заполнения таблицы 4.</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