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36"/>
        </w:rPr>
        <w:t>Cluster Bootstrap Method for Pooled Detection Performance</w:t>
      </w:r>
    </w:p>
    <w:p>
      <w:pPr>
        <w:spacing w:after="320"/>
      </w:pPr>
      <w:r>
        <w:rPr>
          <w:rFonts w:ascii="Calibri" w:hAnsi="Calibri"/>
          <w:b w:val="0"/>
          <w:i/>
          <w:color w:val="595959"/>
          <w:sz w:val="20"/>
        </w:rPr>
        <w:t>Applies to both bench lifecycle testing (device as cluster) and the human laboratory study (participant as cluster).</w:t>
      </w:r>
    </w:p>
    <w:p>
      <w:pPr>
        <w:pStyle w:val="Heading1"/>
      </w:pPr>
      <w:r>
        <w:t>1. Purpose</w:t>
      </w:r>
    </w:p>
    <w:p>
      <w:pPr>
        <w:spacing w:after="160"/>
      </w:pPr>
      <w:r>
        <w:rPr>
          <w:rFonts w:ascii="Calibri" w:hAnsi="Calibri"/>
          <w:b w:val="0"/>
          <w:i w:val="0"/>
          <w:sz w:val="22"/>
        </w:rPr>
        <w:t>This document describes the device-cluster bootstrap procedure implemented for bench lifecycle testing (device_bootstrap.py) and how the identical procedure applies to the human laboratory study, with participant substituted for device as the resampling cluster. The method estimates a 95% confidence interval for a pooled (combined-totals) detection-performance metric by resampling clusters.</w:t>
      </w:r>
    </w:p>
    <w:p>
      <w:pPr>
        <w:pStyle w:val="Heading1"/>
      </w:pPr>
      <w:r>
        <w:t>2. What this method estimates</w:t>
      </w:r>
    </w:p>
    <w:p>
      <w:pPr>
        <w:spacing w:after="160"/>
      </w:pPr>
      <w:r>
        <w:rPr>
          <w:rFonts w:ascii="Calibri" w:hAnsi="Calibri"/>
          <w:b w:val="0"/>
          <w:i w:val="0"/>
          <w:sz w:val="22"/>
        </w:rPr>
        <w:t>The target is the pooled estimator: all puffs are combined across clusters before the ratio is taken, so a cluster contributing more puffs has proportionally more influence on the result. For example, pooled precision is computed as the total true positives across all clusters, divided by the total true positives plus false positives across all clusters — not as an average of each cluster’s own precision. This weighting is preserved inside every bootstrap resample as well: when clusters are resampled, their raw counts are summed first, and the ratio is taken second (Section 3.2), so each resample still reflects the pooled definition of the metric.</w:t>
      </w:r>
    </w:p>
    <w:p>
      <w:pPr>
        <w:pStyle w:val="Heading1"/>
      </w:pPr>
      <w:r>
        <w:t>3. General procedure (cluster j = device or participant)</w:t>
      </w:r>
    </w:p>
    <w:p>
      <w:pPr>
        <w:pStyle w:val="Heading2"/>
      </w:pPr>
      <w:r>
        <w:t>3.1 Setup</w:t>
      </w:r>
    </w:p>
    <w:p>
      <w:pPr>
        <w:spacing w:after="160"/>
      </w:pPr>
      <w:r>
        <w:rPr>
          <w:rFonts w:ascii="Calibri" w:hAnsi="Calibri"/>
          <w:b w:val="0"/>
          <w:i w:val="0"/>
          <w:sz w:val="22"/>
        </w:rPr>
        <w:t>Let j = 1, …, n index clusters. For each cluster j, record whatever raw counts the pooled metric is built from — e.g., true positives, false positives, and false negatives for precision/recall/F1; delivered and counted puffs for puff-count error; programmed and measured duration for duration relative error.</w:t>
      </w:r>
    </w:p>
    <w:p>
      <w:pPr>
        <w:pStyle w:val="Heading2"/>
      </w:pPr>
      <w:r>
        <w:t>3.2 Step-by-step algorithm</w:t>
      </w:r>
    </w:p>
    <w:p>
      <w:pPr>
        <w:pStyle w:val="ListNumber"/>
        <w:spacing w:after="120"/>
      </w:pPr>
      <w:r>
        <w:rPr>
          <w:rFonts w:ascii="Calibri" w:hAnsi="Calibri"/>
          <w:b w:val="0"/>
          <w:i w:val="0"/>
          <w:sz w:val="22"/>
        </w:rPr>
        <w:t>Aggregate each cluster’s own raw totals (its own TP, FP, FN, etc.) — one row per cluster.</w:t>
      </w:r>
    </w:p>
    <w:p>
      <w:pPr>
        <w:pStyle w:val="ListNumber"/>
        <w:spacing w:after="120"/>
      </w:pPr>
      <w:r>
        <w:rPr>
          <w:rFonts w:ascii="Calibri" w:hAnsi="Calibri"/>
          <w:b w:val="0"/>
          <w:i w:val="0"/>
          <w:sz w:val="22"/>
        </w:rPr>
        <w:t>Compute the pooled point estimate once, from the full set of n clusters: combine (sum) the raw totals across all clusters, then take the ratio (e.g., precision = ΣTP / (ΣTP+ΣFP)).</w:t>
      </w:r>
    </w:p>
    <w:p>
      <w:pPr>
        <w:pStyle w:val="ListNumber"/>
        <w:spacing w:after="120"/>
      </w:pPr>
      <w:r>
        <w:rPr>
          <w:rFonts w:ascii="Calibri" w:hAnsi="Calibri"/>
          <w:b w:val="0"/>
          <w:i w:val="0"/>
          <w:sz w:val="22"/>
        </w:rPr>
        <w:t>Draw a bootstrap resample: select n clusters at random, with replacement, from the original n (so some clusters may appear more than once in a given resample, others not at all).</w:t>
      </w:r>
    </w:p>
    <w:p>
      <w:pPr>
        <w:pStyle w:val="ListNumber"/>
        <w:spacing w:after="120"/>
      </w:pPr>
      <w:r>
        <w:rPr>
          <w:rFonts w:ascii="Calibri" w:hAnsi="Calibri"/>
          <w:b w:val="0"/>
          <w:i w:val="0"/>
          <w:sz w:val="22"/>
        </w:rPr>
        <w:t>Recompute the same pooled point estimate on that resample (sum the resampled clusters’ raw totals, then take the ratio).</w:t>
      </w:r>
    </w:p>
    <w:p>
      <w:pPr>
        <w:pStyle w:val="ListNumber"/>
        <w:spacing w:after="120"/>
      </w:pPr>
      <w:r>
        <w:rPr>
          <w:rFonts w:ascii="Calibri" w:hAnsi="Calibri"/>
          <w:b w:val="0"/>
          <w:i w:val="0"/>
          <w:sz w:val="22"/>
        </w:rPr>
        <w:t>Repeat the resample-and-recompute step B times (B = 10,000 in the current bench implementation), producing a distribution of B pooled estimates.</w:t>
      </w:r>
    </w:p>
    <w:p>
      <w:pPr>
        <w:pStyle w:val="ListNumber"/>
        <w:spacing w:after="120"/>
      </w:pPr>
      <w:r>
        <w:rPr>
          <w:rFonts w:ascii="Calibri" w:hAnsi="Calibri"/>
          <w:b w:val="0"/>
          <w:i w:val="0"/>
          <w:sz w:val="22"/>
        </w:rPr>
        <w:t>Take the 2.5th and 97.5th percentiles of that distribution as the 95% confidence interval — the “percentile bootstrap.”</w:t>
      </w:r>
    </w:p>
    <w:p>
      <w:pPr>
        <w:pStyle w:val="Heading2"/>
      </w:pPr>
      <w:r>
        <w:t>3.3 BCa refinement</w:t>
      </w:r>
    </w:p>
    <w:p>
      <w:pPr>
        <w:spacing w:after="160"/>
      </w:pPr>
      <w:r>
        <w:rPr>
          <w:rFonts w:ascii="Calibri" w:hAnsi="Calibri"/>
          <w:b w:val="0"/>
          <w:i w:val="0"/>
          <w:sz w:val="22"/>
        </w:rPr>
        <w:t>In addition to the plain percentile interval, a bias-corrected and accelerated (BCa) interval is computed. BCa adjusts the percentile interval for two things a plain percentile bootstrap can miss: systematic bias (the bootstrap distribution’s median not lining up with the actual point estimate) and skewness (the distribution not being symmetric). The correction uses a jackknife procedure — recomputing the pooled estimate once per cluster with that one cluster left out — to estimate an “acceleration” constant, combined with a bias-correction constant derived from where the actual point estimate falls within the bootstrap distribution. BCa is generally the more reliable of the two intervals when the underlying distribution is skewed or bounded (as precision/recall are, near 100%), at the cost of the extra jackknife computation.</w:t>
      </w:r>
    </w:p>
    <w:p>
      <w:pPr>
        <w:pStyle w:val="Heading1"/>
      </w:pPr>
      <w:r>
        <w:t>4. Application: bench lifecycle testing (device as cluster)</w:t>
      </w:r>
    </w:p>
    <w:p>
      <w:pPr>
        <w:spacing w:after="160"/>
      </w:pPr>
      <w:r>
        <w:rPr>
          <w:rFonts w:ascii="Calibri" w:hAnsi="Calibri"/>
          <w:b w:val="0"/>
          <w:i w:val="0"/>
          <w:sz w:val="22"/>
        </w:rPr>
        <w:t>Currently implemented in device_bootstrap.py, n = 26 devices, B = 10,000, fixed seed = 12345.</w:t>
      </w:r>
    </w:p>
    <w:tbl>
      <w:tblPr>
        <w:tblW w:type="auto" w:w="0"/>
        <w:tblLayout w:type="fixed"/>
        <w:tblLook w:firstColumn="1" w:firstRow="1" w:lastColumn="0" w:lastRow="0" w:noHBand="0" w:noVBand="1" w:val="04A0"/>
      </w:tblPr>
      <w:tblGrid>
        <w:gridCol w:w="2880"/>
        <w:gridCol w:w="2880"/>
        <w:gridCol w:w="2880"/>
      </w:tblGrid>
      <w:tr>
        <w:tc>
          <w:tcPr>
            <w:tcW w:type="dxa" w:w="2448"/>
            <w:vAlign w:val="center"/>
            <w:shd w:val="clear" w:color="auto" w:fill="1F4E78"/>
          </w:tcPr>
          <w:p>
            <w:r>
              <w:rPr>
                <w:rFonts w:ascii="Calibri" w:hAnsi="Calibri"/>
                <w:b/>
                <w:i w:val="0"/>
                <w:color w:val="FFFFFF"/>
                <w:sz w:val="20"/>
              </w:rPr>
              <w:t>Metric</w:t>
            </w:r>
          </w:p>
        </w:tc>
        <w:tc>
          <w:tcPr>
            <w:tcW w:type="dxa" w:w="5616"/>
            <w:vAlign w:val="center"/>
            <w:shd w:val="clear" w:color="auto" w:fill="1F4E78"/>
          </w:tcPr>
          <w:p>
            <w:r>
              <w:rPr>
                <w:rFonts w:ascii="Calibri" w:hAnsi="Calibri"/>
                <w:b/>
                <w:i w:val="0"/>
                <w:color w:val="FFFFFF"/>
                <w:sz w:val="20"/>
              </w:rPr>
              <w:t>Numerator (summed across resampled devices)</w:t>
            </w:r>
          </w:p>
        </w:tc>
        <w:tc>
          <w:tcPr>
            <w:tcW w:type="dxa" w:w="4176"/>
            <w:vAlign w:val="center"/>
            <w:shd w:val="clear" w:color="auto" w:fill="1F4E78"/>
          </w:tcPr>
          <w:p>
            <w:r>
              <w:rPr>
                <w:rFonts w:ascii="Calibri" w:hAnsi="Calibri"/>
                <w:b/>
                <w:i w:val="0"/>
                <w:color w:val="FFFFFF"/>
                <w:sz w:val="20"/>
              </w:rPr>
              <w:t>Denominator</w:t>
            </w:r>
          </w:p>
        </w:tc>
      </w:tr>
      <w:tr>
        <w:tc>
          <w:tcPr>
            <w:tcW w:type="dxa" w:w="2448"/>
            <w:vAlign w:val="center"/>
          </w:tcPr>
          <w:p>
            <w:r>
              <w:rPr>
                <w:rFonts w:ascii="Calibri" w:hAnsi="Calibri"/>
                <w:b w:val="0"/>
                <w:i w:val="0"/>
                <w:sz w:val="20"/>
              </w:rPr>
              <w:t>Precision</w:t>
            </w:r>
          </w:p>
        </w:tc>
        <w:tc>
          <w:tcPr>
            <w:tcW w:type="dxa" w:w="5616"/>
            <w:vAlign w:val="center"/>
          </w:tcPr>
          <w:p>
            <w:r>
              <w:rPr>
                <w:rFonts w:ascii="Calibri" w:hAnsi="Calibri"/>
                <w:b w:val="0"/>
                <w:i w:val="0"/>
                <w:sz w:val="20"/>
              </w:rPr>
              <w:t>ΣTP</w:t>
            </w:r>
          </w:p>
        </w:tc>
        <w:tc>
          <w:tcPr>
            <w:tcW w:type="dxa" w:w="4176"/>
            <w:vAlign w:val="center"/>
          </w:tcPr>
          <w:p>
            <w:r>
              <w:rPr>
                <w:rFonts w:ascii="Calibri" w:hAnsi="Calibri"/>
                <w:b w:val="0"/>
                <w:i w:val="0"/>
                <w:sz w:val="20"/>
              </w:rPr>
              <w:t>ΣTP + ΣFP</w:t>
            </w:r>
          </w:p>
        </w:tc>
      </w:tr>
      <w:tr>
        <w:tc>
          <w:tcPr>
            <w:tcW w:type="dxa" w:w="2448"/>
            <w:vAlign w:val="center"/>
          </w:tcPr>
          <w:p>
            <w:r>
              <w:rPr>
                <w:rFonts w:ascii="Calibri" w:hAnsi="Calibri"/>
                <w:b w:val="0"/>
                <w:i w:val="0"/>
                <w:sz w:val="20"/>
              </w:rPr>
              <w:t>Recall</w:t>
            </w:r>
          </w:p>
        </w:tc>
        <w:tc>
          <w:tcPr>
            <w:tcW w:type="dxa" w:w="5616"/>
            <w:vAlign w:val="center"/>
          </w:tcPr>
          <w:p>
            <w:r>
              <w:rPr>
                <w:rFonts w:ascii="Calibri" w:hAnsi="Calibri"/>
                <w:b w:val="0"/>
                <w:i w:val="0"/>
                <w:sz w:val="20"/>
              </w:rPr>
              <w:t>ΣTP</w:t>
            </w:r>
          </w:p>
        </w:tc>
        <w:tc>
          <w:tcPr>
            <w:tcW w:type="dxa" w:w="4176"/>
            <w:vAlign w:val="center"/>
          </w:tcPr>
          <w:p>
            <w:r>
              <w:rPr>
                <w:rFonts w:ascii="Calibri" w:hAnsi="Calibri"/>
                <w:b w:val="0"/>
                <w:i w:val="0"/>
                <w:sz w:val="20"/>
              </w:rPr>
              <w:t>ΣTP + ΣFN</w:t>
            </w:r>
          </w:p>
        </w:tc>
      </w:tr>
      <w:tr>
        <w:tc>
          <w:tcPr>
            <w:tcW w:type="dxa" w:w="2448"/>
            <w:vAlign w:val="center"/>
          </w:tcPr>
          <w:p>
            <w:r>
              <w:rPr>
                <w:rFonts w:ascii="Calibri" w:hAnsi="Calibri"/>
                <w:b w:val="0"/>
                <w:i w:val="0"/>
                <w:sz w:val="20"/>
              </w:rPr>
              <w:t>F1</w:t>
            </w:r>
          </w:p>
        </w:tc>
        <w:tc>
          <w:tcPr>
            <w:tcW w:type="dxa" w:w="5616"/>
            <w:vAlign w:val="center"/>
          </w:tcPr>
          <w:p>
            <w:r>
              <w:rPr>
                <w:rFonts w:ascii="Calibri" w:hAnsi="Calibri"/>
                <w:b w:val="0"/>
                <w:i w:val="0"/>
                <w:sz w:val="20"/>
              </w:rPr>
              <w:t>2·ΣTP</w:t>
            </w:r>
          </w:p>
        </w:tc>
        <w:tc>
          <w:tcPr>
            <w:tcW w:type="dxa" w:w="4176"/>
            <w:vAlign w:val="center"/>
          </w:tcPr>
          <w:p>
            <w:r>
              <w:rPr>
                <w:rFonts w:ascii="Calibri" w:hAnsi="Calibri"/>
                <w:b w:val="0"/>
                <w:i w:val="0"/>
                <w:sz w:val="20"/>
              </w:rPr>
              <w:t>2·ΣTP + ΣFP + ΣFN</w:t>
            </w:r>
          </w:p>
        </w:tc>
      </w:tr>
      <w:tr>
        <w:tc>
          <w:tcPr>
            <w:tcW w:type="dxa" w:w="2448"/>
            <w:vAlign w:val="center"/>
          </w:tcPr>
          <w:p>
            <w:r>
              <w:rPr>
                <w:rFonts w:ascii="Calibri" w:hAnsi="Calibri"/>
                <w:b w:val="0"/>
                <w:i w:val="0"/>
                <w:sz w:val="20"/>
              </w:rPr>
              <w:t>Puff-count error</w:t>
            </w:r>
          </w:p>
        </w:tc>
        <w:tc>
          <w:tcPr>
            <w:tcW w:type="dxa" w:w="5616"/>
            <w:vAlign w:val="center"/>
          </w:tcPr>
          <w:p>
            <w:r>
              <w:rPr>
                <w:rFonts w:ascii="Calibri" w:hAnsi="Calibri"/>
                <w:b w:val="0"/>
                <w:i w:val="0"/>
                <w:sz w:val="20"/>
              </w:rPr>
              <w:t>Σ|counted − delivered|</w:t>
            </w:r>
          </w:p>
        </w:tc>
        <w:tc>
          <w:tcPr>
            <w:tcW w:type="dxa" w:w="4176"/>
            <w:vAlign w:val="center"/>
          </w:tcPr>
          <w:p>
            <w:r>
              <w:rPr>
                <w:rFonts w:ascii="Calibri" w:hAnsi="Calibri"/>
                <w:b w:val="0"/>
                <w:i w:val="0"/>
                <w:sz w:val="20"/>
              </w:rPr>
              <w:t>Σ delivered</w:t>
            </w:r>
          </w:p>
        </w:tc>
      </w:tr>
      <w:tr>
        <w:tc>
          <w:tcPr>
            <w:tcW w:type="dxa" w:w="2448"/>
            <w:vAlign w:val="center"/>
          </w:tcPr>
          <w:p>
            <w:r>
              <w:rPr>
                <w:rFonts w:ascii="Calibri" w:hAnsi="Calibri"/>
                <w:b w:val="0"/>
                <w:i w:val="0"/>
                <w:sz w:val="20"/>
              </w:rPr>
              <w:t>Duration RE</w:t>
            </w:r>
          </w:p>
        </w:tc>
        <w:tc>
          <w:tcPr>
            <w:tcW w:type="dxa" w:w="5616"/>
            <w:vAlign w:val="center"/>
          </w:tcPr>
          <w:p>
            <w:r>
              <w:rPr>
                <w:rFonts w:ascii="Calibri" w:hAnsi="Calibri"/>
                <w:b w:val="0"/>
                <w:i w:val="0"/>
                <w:sz w:val="20"/>
              </w:rPr>
              <w:t>Σ|measured − programmed| duration</w:t>
            </w:r>
          </w:p>
        </w:tc>
        <w:tc>
          <w:tcPr>
            <w:tcW w:type="dxa" w:w="4176"/>
            <w:vAlign w:val="center"/>
          </w:tcPr>
          <w:p>
            <w:r>
              <w:rPr>
                <w:rFonts w:ascii="Calibri" w:hAnsi="Calibri"/>
                <w:b w:val="0"/>
                <w:i w:val="0"/>
                <w:sz w:val="20"/>
              </w:rPr>
              <w:t>Σ programmed duration</w:t>
            </w:r>
          </w:p>
        </w:tc>
      </w:tr>
    </w:tbl>
    <w:p>
      <w:pPr>
        <w:spacing w:after="80"/>
      </w:pPr>
    </w:p>
    <w:p>
      <w:pPr>
        <w:spacing w:after="160"/>
      </w:pPr>
      <w:r>
        <w:rPr>
          <w:rFonts w:ascii="Calibri" w:hAnsi="Calibri"/>
          <w:b w:val="0"/>
          <w:i w:val="0"/>
          <w:sz w:val="22"/>
        </w:rPr>
        <w:t>Each device’s row is built by summing these quantities across all of that device’s own test sessions before the device enters the resampling step — i.e., the resampling unit is the device, not the individual session or puff.</w:t>
      </w:r>
    </w:p>
    <w:p>
      <w:pPr>
        <w:pStyle w:val="Heading1"/>
      </w:pPr>
      <w:r>
        <w:t>5. Application: human laboratory study (participant as cluster)</w:t>
      </w:r>
    </w:p>
    <w:p>
      <w:pPr>
        <w:spacing w:after="160"/>
      </w:pPr>
      <w:r>
        <w:rPr>
          <w:rFonts w:ascii="Calibri" w:hAnsi="Calibri"/>
          <w:b w:val="0"/>
          <w:i w:val="0"/>
          <w:sz w:val="22"/>
        </w:rPr>
        <w:t>The identical procedure, with the participant substituted for the device as the resampling unit, n = 22, and the same B and BCa refinement. Each participant’s row is their own reconciled TP, FN, FP counts from the confusion-matrix analysis (video-coded puffs as ground truth).</w:t>
      </w:r>
    </w:p>
    <w:tbl>
      <w:tblPr>
        <w:tblW w:type="auto" w:w="0"/>
        <w:tblLayout w:type="fixed"/>
        <w:tblLook w:firstColumn="1" w:firstRow="1" w:lastColumn="0" w:lastRow="0" w:noHBand="0" w:noVBand="1" w:val="04A0"/>
      </w:tblPr>
      <w:tblGrid>
        <w:gridCol w:w="2880"/>
        <w:gridCol w:w="2880"/>
        <w:gridCol w:w="2880"/>
      </w:tblGrid>
      <w:tr>
        <w:tc>
          <w:tcPr>
            <w:tcW w:type="dxa" w:w="2448"/>
            <w:vAlign w:val="center"/>
            <w:shd w:val="clear" w:color="auto" w:fill="1F4E78"/>
          </w:tcPr>
          <w:p>
            <w:r>
              <w:rPr>
                <w:rFonts w:ascii="Calibri" w:hAnsi="Calibri"/>
                <w:b/>
                <w:i w:val="0"/>
                <w:color w:val="FFFFFF"/>
                <w:sz w:val="20"/>
              </w:rPr>
              <w:t>Metric</w:t>
            </w:r>
          </w:p>
        </w:tc>
        <w:tc>
          <w:tcPr>
            <w:tcW w:type="dxa" w:w="5616"/>
            <w:vAlign w:val="center"/>
            <w:shd w:val="clear" w:color="auto" w:fill="1F4E78"/>
          </w:tcPr>
          <w:p>
            <w:r>
              <w:rPr>
                <w:rFonts w:ascii="Calibri" w:hAnsi="Calibri"/>
                <w:b/>
                <w:i w:val="0"/>
                <w:color w:val="FFFFFF"/>
                <w:sz w:val="20"/>
              </w:rPr>
              <w:t>Numerator (summed across resampled participants)</w:t>
            </w:r>
          </w:p>
        </w:tc>
        <w:tc>
          <w:tcPr>
            <w:tcW w:type="dxa" w:w="4176"/>
            <w:vAlign w:val="center"/>
            <w:shd w:val="clear" w:color="auto" w:fill="1F4E78"/>
          </w:tcPr>
          <w:p>
            <w:r>
              <w:rPr>
                <w:rFonts w:ascii="Calibri" w:hAnsi="Calibri"/>
                <w:b/>
                <w:i w:val="0"/>
                <w:color w:val="FFFFFF"/>
                <w:sz w:val="20"/>
              </w:rPr>
              <w:t>Denominator</w:t>
            </w:r>
          </w:p>
        </w:tc>
      </w:tr>
      <w:tr>
        <w:tc>
          <w:tcPr>
            <w:tcW w:type="dxa" w:w="2448"/>
            <w:vAlign w:val="center"/>
          </w:tcPr>
          <w:p>
            <w:r>
              <w:rPr>
                <w:rFonts w:ascii="Calibri" w:hAnsi="Calibri"/>
                <w:b w:val="0"/>
                <w:i w:val="0"/>
                <w:sz w:val="20"/>
              </w:rPr>
              <w:t>Precision</w:t>
            </w:r>
          </w:p>
        </w:tc>
        <w:tc>
          <w:tcPr>
            <w:tcW w:type="dxa" w:w="5616"/>
            <w:vAlign w:val="center"/>
          </w:tcPr>
          <w:p>
            <w:r>
              <w:rPr>
                <w:rFonts w:ascii="Calibri" w:hAnsi="Calibri"/>
                <w:b w:val="0"/>
                <w:i w:val="0"/>
                <w:sz w:val="20"/>
              </w:rPr>
              <w:t>ΣTP</w:t>
            </w:r>
          </w:p>
        </w:tc>
        <w:tc>
          <w:tcPr>
            <w:tcW w:type="dxa" w:w="4176"/>
            <w:vAlign w:val="center"/>
          </w:tcPr>
          <w:p>
            <w:r>
              <w:rPr>
                <w:rFonts w:ascii="Calibri" w:hAnsi="Calibri"/>
                <w:b w:val="0"/>
                <w:i w:val="0"/>
                <w:sz w:val="20"/>
              </w:rPr>
              <w:t>ΣTP + ΣFP</w:t>
            </w:r>
          </w:p>
        </w:tc>
      </w:tr>
      <w:tr>
        <w:tc>
          <w:tcPr>
            <w:tcW w:type="dxa" w:w="2448"/>
            <w:vAlign w:val="center"/>
          </w:tcPr>
          <w:p>
            <w:r>
              <w:rPr>
                <w:rFonts w:ascii="Calibri" w:hAnsi="Calibri"/>
                <w:b w:val="0"/>
                <w:i w:val="0"/>
                <w:sz w:val="20"/>
              </w:rPr>
              <w:t>Recall</w:t>
            </w:r>
          </w:p>
        </w:tc>
        <w:tc>
          <w:tcPr>
            <w:tcW w:type="dxa" w:w="5616"/>
            <w:vAlign w:val="center"/>
          </w:tcPr>
          <w:p>
            <w:r>
              <w:rPr>
                <w:rFonts w:ascii="Calibri" w:hAnsi="Calibri"/>
                <w:b w:val="0"/>
                <w:i w:val="0"/>
                <w:sz w:val="20"/>
              </w:rPr>
              <w:t>ΣTP</w:t>
            </w:r>
          </w:p>
        </w:tc>
        <w:tc>
          <w:tcPr>
            <w:tcW w:type="dxa" w:w="4176"/>
            <w:vAlign w:val="center"/>
          </w:tcPr>
          <w:p>
            <w:r>
              <w:rPr>
                <w:rFonts w:ascii="Calibri" w:hAnsi="Calibri"/>
                <w:b w:val="0"/>
                <w:i w:val="0"/>
                <w:sz w:val="20"/>
              </w:rPr>
              <w:t>ΣTP + ΣFN</w:t>
            </w:r>
          </w:p>
        </w:tc>
      </w:tr>
      <w:tr>
        <w:tc>
          <w:tcPr>
            <w:tcW w:type="dxa" w:w="2448"/>
            <w:vAlign w:val="center"/>
          </w:tcPr>
          <w:p>
            <w:r>
              <w:rPr>
                <w:rFonts w:ascii="Calibri" w:hAnsi="Calibri"/>
                <w:b w:val="0"/>
                <w:i w:val="0"/>
                <w:sz w:val="20"/>
              </w:rPr>
              <w:t>F1</w:t>
            </w:r>
          </w:p>
        </w:tc>
        <w:tc>
          <w:tcPr>
            <w:tcW w:type="dxa" w:w="5616"/>
            <w:vAlign w:val="center"/>
          </w:tcPr>
          <w:p>
            <w:r>
              <w:rPr>
                <w:rFonts w:ascii="Calibri" w:hAnsi="Calibri"/>
                <w:b w:val="0"/>
                <w:i w:val="0"/>
                <w:sz w:val="20"/>
              </w:rPr>
              <w:t>2·ΣTP</w:t>
            </w:r>
          </w:p>
        </w:tc>
        <w:tc>
          <w:tcPr>
            <w:tcW w:type="dxa" w:w="4176"/>
            <w:vAlign w:val="center"/>
          </w:tcPr>
          <w:p>
            <w:r>
              <w:rPr>
                <w:rFonts w:ascii="Calibri" w:hAnsi="Calibri"/>
                <w:b w:val="0"/>
                <w:i w:val="0"/>
                <w:sz w:val="20"/>
              </w:rPr>
              <w:t>2·ΣTP + ΣFP + ΣFN</w:t>
            </w:r>
          </w:p>
        </w:tc>
      </w:tr>
    </w:tbl>
    <w:p>
      <w:pPr>
        <w:spacing w:after="80"/>
      </w:pPr>
    </w:p>
    <w:p>
      <w:pPr>
        <w:spacing w:after="160"/>
      </w:pPr>
      <w:r>
        <w:rPr>
          <w:rFonts w:ascii="Calibri" w:hAnsi="Calibri"/>
          <w:b w:val="0"/>
          <w:i w:val="0"/>
          <w:sz w:val="22"/>
        </w:rPr>
        <w:t>TP = unique true (video-coded) puffs matched by at least one FRIENDS-detected puff; FN = true puffs matched by no FRIENDS puff; FP = FRIENDS puffs matching no true puff. These counts are already computed per participant in the reconciled confusion-matrix analysis, so applying this bootstrap procedure requires no new data processing — only the resample-and-recompute steps in Section 3.2, run with participant as the cluster.</w:t>
      </w:r>
    </w:p>
    <w:p>
      <w:pPr>
        <w:pStyle w:val="Heading1"/>
      </w:pPr>
      <w:r>
        <w:t>6. Implementation notes</w:t>
      </w:r>
    </w:p>
    <w:p>
      <w:pPr>
        <w:pStyle w:val="ListBullet"/>
        <w:spacing w:after="120"/>
      </w:pPr>
      <w:r>
        <w:rPr>
          <w:rFonts w:ascii="Calibri" w:hAnsi="Calibri"/>
          <w:b w:val="0"/>
          <w:i w:val="0"/>
          <w:sz w:val="22"/>
        </w:rPr>
        <w:t>Resampling unit: the cluster (device or participant), never the individual puff — puffs within a cluster always move together in a given resample.</w:t>
      </w:r>
    </w:p>
    <w:p>
      <w:pPr>
        <w:pStyle w:val="ListBullet"/>
        <w:spacing w:after="120"/>
      </w:pPr>
      <w:r>
        <w:rPr>
          <w:rFonts w:ascii="Calibri" w:hAnsi="Calibri"/>
          <w:b w:val="0"/>
          <w:i w:val="0"/>
          <w:sz w:val="22"/>
        </w:rPr>
        <w:t>Replicate count: 10,000 in the current bench implementation; the human-study version should use the same replicate count for direct comparability.</w:t>
      </w:r>
    </w:p>
    <w:p>
      <w:pPr>
        <w:pStyle w:val="ListBullet"/>
        <w:spacing w:after="120"/>
      </w:pPr>
      <w:r>
        <w:rPr>
          <w:rFonts w:ascii="Calibri" w:hAnsi="Calibri"/>
          <w:b w:val="0"/>
          <w:i w:val="0"/>
          <w:sz w:val="22"/>
        </w:rPr>
        <w:t>Random seed: fixed for reproducibility (12345 in the bench script). A fixed, documented seed is what matters for reproducibility — the specific value does not need to match between the bench and human study implementations, only that each is fixed and reported.</w:t>
      </w:r>
    </w:p>
    <w:p>
      <w:pPr>
        <w:pStyle w:val="ListBullet"/>
        <w:spacing w:after="120"/>
      </w:pPr>
      <w:r>
        <w:rPr>
          <w:rFonts w:ascii="Calibri" w:hAnsi="Calibri"/>
          <w:b w:val="0"/>
          <w:i w:val="0"/>
          <w:sz w:val="22"/>
        </w:rPr>
        <w:t>Both the percentile and BCa intervals should be reported together, as in the bench implementation, so a reader can see whether the two methods materially disagree for a given metric.</w:t>
      </w:r>
    </w:p>
    <w:p>
      <w:pPr>
        <w:pStyle w:val="Heading1"/>
      </w:pPr>
      <w:r>
        <w:t>References</w:t>
      </w:r>
    </w:p>
    <w:p>
      <w:pPr>
        <w:spacing w:after="160"/>
      </w:pPr>
      <w:r>
        <w:rPr>
          <w:rFonts w:ascii="Calibri" w:hAnsi="Calibri"/>
          <w:b w:val="0"/>
          <w:i w:val="0"/>
          <w:sz w:val="22"/>
        </w:rPr>
        <w:t>Efron, B., &amp; Tibshirani, R. J. (1993). An Introduction to the Bootstrap. Chapman &amp; Hall/CRC. (percentile and BCa bootstrap confidence intervals)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