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Confidence Interval Methods for FRIENDS Detection Performance Metrics</w:t>
      </w:r>
    </w:p>
    <w:p>
      <w:pPr>
        <w:spacing w:after="320"/>
      </w:pPr>
      <w:r>
        <w:rPr>
          <w:rFonts w:ascii="Calibri" w:hAnsi="Calibri"/>
          <w:b w:val="0"/>
          <w:i/>
          <w:color w:val="595959"/>
          <w:sz w:val="20"/>
        </w:rPr>
        <w:t>Prepared for statistical review and for use as a shared specification across the human laboratory study and bench lifecycle testing analyses.</w:t>
      </w:r>
    </w:p>
    <w:p>
      <w:pPr>
        <w:pStyle w:val="Heading1"/>
      </w:pPr>
      <w:r>
        <w:t>1. Purpose</w:t>
      </w:r>
    </w:p>
    <w:p>
      <w:pPr>
        <w:spacing w:after="160"/>
      </w:pPr>
      <w:r>
        <w:rPr>
          <w:rFonts w:ascii="Calibri" w:hAnsi="Calibri"/>
          <w:b w:val="0"/>
          <w:i w:val="0"/>
          <w:sz w:val="22"/>
        </w:rPr>
        <w:t>This document describes two distinct confidence-interval (CI) methods used to report FRIENDS device detection performance (precision, recall, F1, and analogous accuracy metrics). Both methods are used in this study; they are not interchangeable, and each answers a different question. This note is intended to (a) allow independent statistical review of the methodology, and (b) serve as a shared specification so that the identical procedure can be applied to both the human laboratory study (participant as cluster) and the bench lifecycle testing study (device as cluster).</w:t>
      </w:r>
    </w:p>
    <w:p>
      <w:pPr>
        <w:pStyle w:val="Heading1"/>
      </w:pPr>
      <w:r>
        <w:t>2. Two distinct estimands</w:t>
      </w:r>
    </w:p>
    <w:p>
      <w:pPr>
        <w:spacing w:after="160"/>
      </w:pPr>
      <w:r>
        <w:rPr>
          <w:rFonts w:ascii="Calibri" w:hAnsi="Calibri"/>
          <w:b w:val="0"/>
          <w:i w:val="0"/>
          <w:sz w:val="22"/>
        </w:rPr>
        <w:t>In both studies, individual puffs are nested within a cluster (a participant in the human study; a device, or a test session within a device, in bench testing), and clusters contribute unequal numbers of puffs. Two different summary statistics are reported, and each requires its own CI method:</w:t>
      </w:r>
    </w:p>
    <w:p>
      <w:pPr>
        <w:pStyle w:val="ListBullet"/>
        <w:spacing w:after="120"/>
      </w:pPr>
      <w:r>
        <w:rPr>
          <w:rFonts w:ascii="Calibri" w:hAnsi="Calibri"/>
          <w:b/>
          <w:i w:val="0"/>
          <w:sz w:val="22"/>
        </w:rPr>
        <w:t xml:space="preserve">Pooled (micro-averaged) estimate — </w:t>
      </w:r>
      <w:r>
        <w:rPr>
          <w:rFonts w:ascii="Calibri" w:hAnsi="Calibri"/>
          <w:b w:val="0"/>
          <w:i w:val="0"/>
          <w:sz w:val="22"/>
        </w:rPr>
        <w:t>combine all puffs across all clusters first, then compute the rate. Clusters that contributed more puffs have proportionally more influence on the result.</w:t>
      </w:r>
    </w:p>
    <w:p>
      <w:pPr>
        <w:pStyle w:val="ListBullet"/>
        <w:spacing w:after="120"/>
      </w:pPr>
      <w:r>
        <w:rPr>
          <w:rFonts w:ascii="Calibri" w:hAnsi="Calibri"/>
          <w:b/>
          <w:i w:val="0"/>
          <w:sz w:val="22"/>
        </w:rPr>
        <w:t xml:space="preserve">Macro (cluster-level mean) estimate — </w:t>
      </w:r>
      <w:r>
        <w:rPr>
          <w:rFonts w:ascii="Calibri" w:hAnsi="Calibri"/>
          <w:b w:val="0"/>
          <w:i w:val="0"/>
          <w:sz w:val="22"/>
        </w:rPr>
        <w:t>compute each cluster’s own rate first, then take the plain, unweighted average across clusters. Every cluster counts equally regardless of how many puffs it contributed.</w:t>
      </w:r>
    </w:p>
    <w:p>
      <w:pPr>
        <w:spacing w:after="160"/>
      </w:pPr>
      <w:r>
        <w:rPr>
          <w:rFonts w:ascii="Calibri" w:hAnsi="Calibri"/>
          <w:b w:val="0"/>
          <w:i w:val="0"/>
          <w:sz w:val="22"/>
        </w:rPr>
        <w:t>These are genuinely different quantities whenever cluster sizes are unequal (Section 5 gives the algebraic reason), and in this dataset they are unequal: human-study participants contributed between 11 and 87 camera-coded puffs each.</w:t>
      </w:r>
    </w:p>
    <w:p>
      <w:pPr>
        <w:pStyle w:val="Heading1"/>
      </w:pPr>
      <w:r>
        <w:t>3. Method 1 — Pooled CI: cluster-robust ratio-of-totals estimator</w:t>
      </w:r>
    </w:p>
    <w:p>
      <w:pPr>
        <w:spacing w:after="160"/>
      </w:pPr>
      <w:r>
        <w:rPr>
          <w:rFonts w:ascii="Calibri" w:hAnsi="Calibri"/>
          <w:b w:val="0"/>
          <w:i w:val="0"/>
          <w:sz w:val="22"/>
        </w:rPr>
        <w:t>This is the primary, headline estimator. It follows the ratio (combined-ratio) estimator for cluster/stratified sampling described in Cochran (1977), Sampling Techniques, 3rd ed., Section 6.3.</w:t>
      </w:r>
    </w:p>
    <w:p>
      <w:pPr>
        <w:pStyle w:val="Heading2"/>
      </w:pPr>
      <w:r>
        <w:t>3.1 Setup</w:t>
      </w:r>
    </w:p>
    <w:p>
      <w:pPr>
        <w:spacing w:after="160"/>
      </w:pPr>
      <w:r>
        <w:rPr>
          <w:rFonts w:ascii="Calibri" w:hAnsi="Calibri"/>
          <w:b w:val="0"/>
          <w:i w:val="0"/>
          <w:sz w:val="22"/>
        </w:rPr>
        <w:t xml:space="preserve">Let j = 1, …, n index clusters (participants or devices). For each cluster j, define a numerator </w:t>
      </w:r>
      <w:r>
        <w:rPr>
          <w:rFonts w:ascii="Calibri" w:hAnsi="Calibri"/>
          <w:b w:val="0"/>
          <w:i/>
          <w:sz w:val="22"/>
        </w:rPr>
        <w:t>u</w:t>
      </w:r>
      <w:r>
        <w:rPr>
          <w:rFonts w:ascii="Calibri" w:hAnsi="Calibri"/>
          <w:b w:val="0"/>
          <w:i w:val="0"/>
          <w:sz w:val="22"/>
          <w:vertAlign w:val="subscript"/>
        </w:rPr>
        <w:t>j</w:t>
      </w:r>
      <w:r>
        <w:rPr>
          <w:rFonts w:ascii="Calibri" w:hAnsi="Calibri"/>
          <w:b w:val="0"/>
          <w:i w:val="0"/>
          <w:sz w:val="22"/>
        </w:rPr>
        <w:t xml:space="preserve"> and a denominator </w:t>
      </w:r>
      <w:r>
        <w:rPr>
          <w:rFonts w:ascii="Calibri" w:hAnsi="Calibri"/>
          <w:b w:val="0"/>
          <w:i/>
          <w:sz w:val="22"/>
        </w:rPr>
        <w:t>x</w:t>
      </w:r>
      <w:r>
        <w:rPr>
          <w:rFonts w:ascii="Calibri" w:hAnsi="Calibri"/>
          <w:b w:val="0"/>
          <w:i w:val="0"/>
          <w:sz w:val="22"/>
          <w:vertAlign w:val="subscript"/>
        </w:rPr>
        <w:t>j</w:t>
      </w:r>
      <w:r>
        <w:rPr>
          <w:rFonts w:ascii="Calibri" w:hAnsi="Calibri"/>
          <w:b w:val="0"/>
          <w:i w:val="0"/>
          <w:sz w:val="22"/>
        </w:rPr>
        <w:t xml:space="preserve"> appropriate to the metric being estimated (Section 3.3 gives the exact definitions used here).</w:t>
      </w:r>
    </w:p>
    <w:p>
      <w:pPr>
        <w:pStyle w:val="Heading2"/>
      </w:pPr>
      <w:r>
        <w:t>3.2 Point estimate, variance, and interval</w:t>
      </w:r>
    </w:p>
    <w:p>
      <w:pPr>
        <w:spacing w:after="200"/>
        <w:jc w:val="center"/>
      </w:pPr>
      <w:r>
        <w:rPr>
          <w:rFonts w:ascii="Calibri" w:hAnsi="Calibri"/>
          <w:b w:val="0"/>
          <w:i/>
          <w:sz w:val="22"/>
        </w:rPr>
        <w:t>R</w:t>
      </w:r>
      <w:r>
        <w:rPr>
          <w:rFonts w:ascii="Calibri" w:hAnsi="Calibri"/>
          <w:b w:val="0"/>
          <w:i w:val="0"/>
          <w:sz w:val="26"/>
        </w:rPr>
        <w:t xml:space="preserve"> = Σ</w:t>
      </w:r>
      <w:r>
        <w:rPr>
          <w:rFonts w:ascii="Calibri" w:hAnsi="Calibri"/>
          <w:b w:val="0"/>
          <w:i w:val="0"/>
          <w:sz w:val="22"/>
          <w:vertAlign w:val="subscript"/>
        </w:rPr>
        <w:t>j</w:t>
      </w:r>
      <w:r>
        <w:rPr>
          <w:rFonts w:ascii="Calibri" w:hAnsi="Calibri"/>
          <w:b w:val="0"/>
          <w:i/>
          <w:sz w:val="22"/>
        </w:rPr>
        <w:t>u</w:t>
      </w:r>
      <w:r>
        <w:rPr>
          <w:rFonts w:ascii="Calibri" w:hAnsi="Calibri"/>
          <w:b w:val="0"/>
          <w:i w:val="0"/>
          <w:sz w:val="22"/>
          <w:vertAlign w:val="subscript"/>
        </w:rPr>
        <w:t>j</w:t>
      </w:r>
      <w:r>
        <w:rPr>
          <w:rFonts w:ascii="Calibri" w:hAnsi="Calibri"/>
          <w:b w:val="0"/>
          <w:i w:val="0"/>
          <w:sz w:val="26"/>
        </w:rPr>
        <w:t xml:space="preserve"> / Σ</w:t>
      </w:r>
      <w:r>
        <w:rPr>
          <w:rFonts w:ascii="Calibri" w:hAnsi="Calibri"/>
          <w:b w:val="0"/>
          <w:i w:val="0"/>
          <w:sz w:val="22"/>
          <w:vertAlign w:val="subscript"/>
        </w:rPr>
        <w:t>j</w:t>
      </w:r>
      <w:r>
        <w:rPr>
          <w:rFonts w:ascii="Calibri" w:hAnsi="Calibri"/>
          <w:b w:val="0"/>
          <w:i/>
          <w:sz w:val="22"/>
        </w:rPr>
        <w:t>x</w:t>
      </w:r>
      <w:r>
        <w:rPr>
          <w:rFonts w:ascii="Calibri" w:hAnsi="Calibri"/>
          <w:b w:val="0"/>
          <w:i w:val="0"/>
          <w:sz w:val="22"/>
          <w:vertAlign w:val="subscript"/>
        </w:rPr>
        <w:t>j</w:t>
      </w:r>
      <w:r>
        <w:rPr>
          <w:rFonts w:ascii="Calibri" w:hAnsi="Calibri"/>
          <w:b w:val="0"/>
          <w:i w:val="0"/>
          <w:sz w:val="22"/>
        </w:rPr>
        <w:t xml:space="preserve">     (1)</w:t>
      </w:r>
    </w:p>
    <w:p>
      <w:pPr>
        <w:spacing w:after="200"/>
        <w:jc w:val="center"/>
      </w:pPr>
      <w:r>
        <w:rPr>
          <w:rFonts w:ascii="Calibri" w:hAnsi="Calibri"/>
          <w:b w:val="0"/>
          <w:i w:val="0"/>
          <w:sz w:val="22"/>
        </w:rPr>
        <w:t>v(</w:t>
      </w:r>
      <w:r>
        <w:rPr>
          <w:rFonts w:ascii="Calibri" w:hAnsi="Calibri"/>
          <w:b w:val="0"/>
          <w:i/>
          <w:sz w:val="22"/>
        </w:rPr>
        <w:t>R</w:t>
      </w:r>
      <w:r>
        <w:rPr>
          <w:rFonts w:ascii="Calibri" w:hAnsi="Calibri"/>
          <w:b w:val="0"/>
          <w:i w:val="0"/>
          <w:sz w:val="26"/>
        </w:rPr>
        <w:t>) = n · Σ</w:t>
      </w:r>
      <w:r>
        <w:rPr>
          <w:rFonts w:ascii="Calibri" w:hAnsi="Calibri"/>
          <w:b w:val="0"/>
          <w:i w:val="0"/>
          <w:sz w:val="22"/>
          <w:vertAlign w:val="subscript"/>
        </w:rPr>
        <w:t>j</w:t>
      </w:r>
      <w:r>
        <w:rPr>
          <w:rFonts w:ascii="Calibri" w:hAnsi="Calibri"/>
          <w:b w:val="0"/>
          <w:i w:val="0"/>
          <w:sz w:val="22"/>
        </w:rPr>
        <w:t>(</w:t>
      </w:r>
      <w:r>
        <w:rPr>
          <w:rFonts w:ascii="Calibri" w:hAnsi="Calibri"/>
          <w:b w:val="0"/>
          <w:i/>
          <w:sz w:val="22"/>
        </w:rPr>
        <w:t>u</w:t>
      </w:r>
      <w:r>
        <w:rPr>
          <w:rFonts w:ascii="Calibri" w:hAnsi="Calibri"/>
          <w:b w:val="0"/>
          <w:i w:val="0"/>
          <w:sz w:val="22"/>
          <w:vertAlign w:val="subscript"/>
        </w:rPr>
        <w:t>j</w:t>
      </w:r>
      <w:r>
        <w:rPr>
          <w:rFonts w:ascii="Calibri" w:hAnsi="Calibri"/>
          <w:b w:val="0"/>
          <w:i w:val="0"/>
          <w:sz w:val="22"/>
        </w:rPr>
        <w:t xml:space="preserve"> − </w:t>
      </w:r>
      <w:r>
        <w:rPr>
          <w:rFonts w:ascii="Calibri" w:hAnsi="Calibri"/>
          <w:b w:val="0"/>
          <w:i/>
          <w:sz w:val="22"/>
        </w:rPr>
        <w:t>R</w:t>
      </w:r>
      <w:r>
        <w:rPr>
          <w:rFonts w:ascii="Calibri" w:hAnsi="Calibri"/>
          <w:b w:val="0"/>
          <w:i w:val="0"/>
          <w:sz w:val="22"/>
        </w:rPr>
        <w:t>·</w:t>
      </w:r>
      <w:r>
        <w:rPr>
          <w:rFonts w:ascii="Calibri" w:hAnsi="Calibri"/>
          <w:b w:val="0"/>
          <w:i/>
          <w:sz w:val="22"/>
        </w:rPr>
        <w:t>x</w:t>
      </w:r>
      <w:r>
        <w:rPr>
          <w:rFonts w:ascii="Calibri" w:hAnsi="Calibri"/>
          <w:b w:val="0"/>
          <w:i w:val="0"/>
          <w:sz w:val="22"/>
          <w:vertAlign w:val="subscript"/>
        </w:rPr>
        <w:t>j</w:t>
      </w:r>
      <w:r>
        <w:rPr>
          <w:rFonts w:ascii="Calibri" w:hAnsi="Calibri"/>
          <w:b w:val="0"/>
          <w:i w:val="0"/>
          <w:sz w:val="22"/>
        </w:rPr>
        <w:t>)</w:t>
      </w:r>
      <w:r>
        <w:rPr>
          <w:rFonts w:ascii="Calibri" w:hAnsi="Calibri"/>
          <w:b w:val="0"/>
          <w:i w:val="0"/>
          <w:sz w:val="22"/>
          <w:vertAlign w:val="superscript"/>
        </w:rPr>
        <w:t>2</w:t>
      </w:r>
      <w:r>
        <w:rPr>
          <w:rFonts w:ascii="Calibri" w:hAnsi="Calibri"/>
          <w:b w:val="0"/>
          <w:i w:val="0"/>
          <w:sz w:val="26"/>
        </w:rPr>
        <w:t xml:space="preserve"> / [(n − 1) · (Σ</w:t>
      </w:r>
      <w:r>
        <w:rPr>
          <w:rFonts w:ascii="Calibri" w:hAnsi="Calibri"/>
          <w:b w:val="0"/>
          <w:i w:val="0"/>
          <w:sz w:val="22"/>
          <w:vertAlign w:val="subscript"/>
        </w:rPr>
        <w:t>j</w:t>
      </w:r>
      <w:r>
        <w:rPr>
          <w:rFonts w:ascii="Calibri" w:hAnsi="Calibri"/>
          <w:b w:val="0"/>
          <w:i/>
          <w:sz w:val="22"/>
        </w:rPr>
        <w:t>x</w:t>
      </w:r>
      <w:r>
        <w:rPr>
          <w:rFonts w:ascii="Calibri" w:hAnsi="Calibri"/>
          <w:b w:val="0"/>
          <w:i w:val="0"/>
          <w:sz w:val="22"/>
          <w:vertAlign w:val="subscript"/>
        </w:rPr>
        <w:t>j</w:t>
      </w:r>
      <w:r>
        <w:rPr>
          <w:rFonts w:ascii="Calibri" w:hAnsi="Calibri"/>
          <w:b w:val="0"/>
          <w:i w:val="0"/>
          <w:sz w:val="22"/>
        </w:rPr>
        <w:t>)</w:t>
      </w:r>
      <w:r>
        <w:rPr>
          <w:rFonts w:ascii="Calibri" w:hAnsi="Calibri"/>
          <w:b w:val="0"/>
          <w:i w:val="0"/>
          <w:sz w:val="22"/>
          <w:vertAlign w:val="superscript"/>
        </w:rPr>
        <w:t>2</w:t>
      </w:r>
      <w:r>
        <w:rPr>
          <w:rFonts w:ascii="Calibri" w:hAnsi="Calibri"/>
          <w:b w:val="0"/>
          <w:i w:val="0"/>
          <w:sz w:val="22"/>
        </w:rPr>
        <w:t>]     (2)</w:t>
      </w:r>
    </w:p>
    <w:p>
      <w:pPr>
        <w:spacing w:after="200"/>
        <w:jc w:val="center"/>
      </w:pPr>
      <w:r>
        <w:rPr>
          <w:rFonts w:ascii="Calibri" w:hAnsi="Calibri"/>
          <w:b w:val="0"/>
          <w:i/>
          <w:sz w:val="22"/>
        </w:rPr>
        <w:t>R</w:t>
      </w:r>
      <w:r>
        <w:rPr>
          <w:rFonts w:ascii="Calibri" w:hAnsi="Calibri"/>
          <w:b w:val="0"/>
          <w:i w:val="0"/>
          <w:sz w:val="22"/>
        </w:rPr>
        <w:t xml:space="preserve"> ± </w:t>
      </w:r>
      <w:r>
        <w:rPr>
          <w:rFonts w:ascii="Calibri" w:hAnsi="Calibri"/>
          <w:b w:val="0"/>
          <w:i/>
          <w:sz w:val="22"/>
        </w:rPr>
        <w:t>t</w:t>
      </w:r>
      <w:r>
        <w:rPr>
          <w:rFonts w:ascii="Calibri" w:hAnsi="Calibri"/>
          <w:b w:val="0"/>
          <w:i w:val="0"/>
          <w:sz w:val="22"/>
          <w:vertAlign w:val="subscript"/>
        </w:rPr>
        <w:t>0.975, n−1</w:t>
      </w:r>
      <w:r>
        <w:rPr>
          <w:rFonts w:ascii="Calibri" w:hAnsi="Calibri"/>
          <w:b w:val="0"/>
          <w:i w:val="0"/>
          <w:sz w:val="22"/>
        </w:rPr>
        <w:t xml:space="preserve"> · √v(</w:t>
      </w:r>
      <w:r>
        <w:rPr>
          <w:rFonts w:ascii="Calibri" w:hAnsi="Calibri"/>
          <w:b w:val="0"/>
          <w:i/>
          <w:sz w:val="22"/>
        </w:rPr>
        <w:t>R</w:t>
      </w:r>
      <w:r>
        <w:rPr>
          <w:rFonts w:ascii="Calibri" w:hAnsi="Calibri"/>
          <w:b w:val="0"/>
          <w:i w:val="0"/>
          <w:sz w:val="22"/>
        </w:rPr>
        <w:t>)     (3)</w:t>
      </w:r>
    </w:p>
    <w:p>
      <w:pPr>
        <w:spacing w:after="160"/>
      </w:pPr>
      <w:r>
        <w:rPr>
          <w:rFonts w:ascii="Calibri" w:hAnsi="Calibri"/>
          <w:b w:val="0"/>
          <w:i/>
          <w:sz w:val="22"/>
        </w:rPr>
        <w:t>R</w:t>
      </w:r>
      <w:r>
        <w:rPr>
          <w:rFonts w:ascii="Calibri" w:hAnsi="Calibri"/>
          <w:b w:val="0"/>
          <w:i w:val="0"/>
          <w:sz w:val="22"/>
        </w:rPr>
        <w:t xml:space="preserve"> is the pooled point estimate; v(R) is its Taylor-series (linearized) variance; and (3) is the resulting 95% confidence interval, using the </w:t>
      </w:r>
      <w:r>
        <w:rPr>
          <w:rFonts w:ascii="Calibri" w:hAnsi="Calibri"/>
          <w:b w:val="0"/>
          <w:i/>
          <w:sz w:val="22"/>
        </w:rPr>
        <w:t>t</w:t>
      </w:r>
      <w:r>
        <w:rPr>
          <w:rFonts w:ascii="Calibri" w:hAnsi="Calibri"/>
          <w:b w:val="0"/>
          <w:i w:val="0"/>
          <w:sz w:val="22"/>
        </w:rPr>
        <w:t>-distribution with n − 1 degrees of freedom, appropriate for the small number of clusters (22 participants, or a comparable number of devices).</w:t>
      </w:r>
    </w:p>
    <w:p>
      <w:pPr>
        <w:pStyle w:val="Heading2"/>
      </w:pPr>
      <w:r>
        <w:t>3.3 Metric-specific definitions used in this study</w:t>
      </w:r>
    </w:p>
    <w:p>
      <w:pPr>
        <w:spacing w:after="160"/>
      </w:pPr>
      <w:r>
        <w:rPr>
          <w:rFonts w:ascii="Calibri" w:hAnsi="Calibri"/>
          <w:b w:val="0"/>
          <w:i w:val="0"/>
          <w:sz w:val="22"/>
        </w:rPr>
        <w:t>For the human laboratory study, TPⱼ, FNⱼ, FPⱼ are the reconciled true-positive / false-negative / false-positive puff counts for participant j (video-coded puffs as ground truth):</w:t>
      </w:r>
    </w:p>
    <w:tbl>
      <w:tblPr>
        <w:tblW w:type="auto" w:w="0"/>
        <w:tblLayout w:type="fixed"/>
        <w:tblLook w:firstColumn="1" w:firstRow="1" w:lastColumn="0" w:lastRow="0" w:noHBand="0" w:noVBand="1" w:val="04A0"/>
      </w:tblPr>
      <w:tblGrid>
        <w:gridCol w:w="2880"/>
        <w:gridCol w:w="2880"/>
        <w:gridCol w:w="2880"/>
      </w:tblGrid>
      <w:tr>
        <w:tc>
          <w:tcPr>
            <w:tcW w:type="dxa" w:w="2304"/>
            <w:vAlign w:val="center"/>
            <w:shd w:val="clear" w:color="auto" w:fill="1F4E78"/>
          </w:tcPr>
          <w:p>
            <w:r>
              <w:rPr>
                <w:rFonts w:ascii="Calibri" w:hAnsi="Calibri"/>
                <w:b/>
                <w:i w:val="0"/>
                <w:color w:val="FFFFFF"/>
                <w:sz w:val="20"/>
              </w:rPr>
              <w:t>Metric</w:t>
            </w:r>
          </w:p>
        </w:tc>
        <w:tc>
          <w:tcPr>
            <w:tcW w:type="dxa" w:w="3456"/>
            <w:vAlign w:val="center"/>
            <w:shd w:val="clear" w:color="auto" w:fill="1F4E78"/>
          </w:tcPr>
          <w:p>
            <w:r>
              <w:rPr>
                <w:rFonts w:ascii="Calibri" w:hAnsi="Calibri"/>
                <w:b/>
                <w:i w:val="0"/>
                <w:color w:val="FFFFFF"/>
                <w:sz w:val="20"/>
              </w:rPr>
              <w:t>uⱼ</w:t>
            </w:r>
          </w:p>
        </w:tc>
        <w:tc>
          <w:tcPr>
            <w:tcW w:type="dxa" w:w="4176"/>
            <w:vAlign w:val="center"/>
            <w:shd w:val="clear" w:color="auto" w:fill="1F4E78"/>
          </w:tcPr>
          <w:p>
            <w:r>
              <w:rPr>
                <w:rFonts w:ascii="Calibri" w:hAnsi="Calibri"/>
                <w:b/>
                <w:i w:val="0"/>
                <w:color w:val="FFFFFF"/>
                <w:sz w:val="20"/>
              </w:rPr>
              <w:t>xⱼ</w:t>
            </w:r>
          </w:p>
        </w:tc>
      </w:tr>
      <w:tr>
        <w:tc>
          <w:tcPr>
            <w:tcW w:type="dxa" w:w="2304"/>
            <w:vAlign w:val="center"/>
          </w:tcPr>
          <w:p>
            <w:r>
              <w:rPr>
                <w:rFonts w:ascii="Calibri" w:hAnsi="Calibri"/>
                <w:b w:val="0"/>
                <w:i w:val="0"/>
                <w:sz w:val="20"/>
              </w:rPr>
              <w:t>Precision</w:t>
            </w:r>
          </w:p>
        </w:tc>
        <w:tc>
          <w:tcPr>
            <w:tcW w:type="dxa" w:w="3456"/>
            <w:vAlign w:val="center"/>
          </w:tcPr>
          <w:p>
            <w:r>
              <w:rPr>
                <w:rFonts w:ascii="Calibri" w:hAnsi="Calibri"/>
                <w:b w:val="0"/>
                <w:i w:val="0"/>
                <w:sz w:val="20"/>
              </w:rPr>
              <w:t>TPⱼ</w:t>
            </w:r>
          </w:p>
        </w:tc>
        <w:tc>
          <w:tcPr>
            <w:tcW w:type="dxa" w:w="4176"/>
            <w:vAlign w:val="center"/>
          </w:tcPr>
          <w:p>
            <w:r>
              <w:rPr>
                <w:rFonts w:ascii="Calibri" w:hAnsi="Calibri"/>
                <w:b w:val="0"/>
                <w:i w:val="0"/>
                <w:sz w:val="20"/>
              </w:rPr>
              <w:t>TPⱼ + FPⱼ</w:t>
            </w:r>
          </w:p>
        </w:tc>
      </w:tr>
      <w:tr>
        <w:tc>
          <w:tcPr>
            <w:tcW w:type="dxa" w:w="2304"/>
            <w:vAlign w:val="center"/>
          </w:tcPr>
          <w:p>
            <w:r>
              <w:rPr>
                <w:rFonts w:ascii="Calibri" w:hAnsi="Calibri"/>
                <w:b w:val="0"/>
                <w:i w:val="0"/>
                <w:sz w:val="20"/>
              </w:rPr>
              <w:t>Recall</w:t>
            </w:r>
          </w:p>
        </w:tc>
        <w:tc>
          <w:tcPr>
            <w:tcW w:type="dxa" w:w="3456"/>
            <w:vAlign w:val="center"/>
          </w:tcPr>
          <w:p>
            <w:r>
              <w:rPr>
                <w:rFonts w:ascii="Calibri" w:hAnsi="Calibri"/>
                <w:b w:val="0"/>
                <w:i w:val="0"/>
                <w:sz w:val="20"/>
              </w:rPr>
              <w:t>TPⱼ</w:t>
            </w:r>
          </w:p>
        </w:tc>
        <w:tc>
          <w:tcPr>
            <w:tcW w:type="dxa" w:w="4176"/>
            <w:vAlign w:val="center"/>
          </w:tcPr>
          <w:p>
            <w:r>
              <w:rPr>
                <w:rFonts w:ascii="Calibri" w:hAnsi="Calibri"/>
                <w:b w:val="0"/>
                <w:i w:val="0"/>
                <w:sz w:val="20"/>
              </w:rPr>
              <w:t>TPⱼ + FNⱼ</w:t>
            </w:r>
          </w:p>
        </w:tc>
      </w:tr>
      <w:tr>
        <w:tc>
          <w:tcPr>
            <w:tcW w:type="dxa" w:w="2304"/>
            <w:vAlign w:val="center"/>
          </w:tcPr>
          <w:p>
            <w:r>
              <w:rPr>
                <w:rFonts w:ascii="Calibri" w:hAnsi="Calibri"/>
                <w:b w:val="0"/>
                <w:i w:val="0"/>
                <w:sz w:val="20"/>
              </w:rPr>
              <w:t>F1</w:t>
            </w:r>
          </w:p>
        </w:tc>
        <w:tc>
          <w:tcPr>
            <w:tcW w:type="dxa" w:w="3456"/>
            <w:vAlign w:val="center"/>
          </w:tcPr>
          <w:p>
            <w:r>
              <w:rPr>
                <w:rFonts w:ascii="Calibri" w:hAnsi="Calibri"/>
                <w:b w:val="0"/>
                <w:i w:val="0"/>
                <w:sz w:val="20"/>
              </w:rPr>
              <w:t>2·TPⱼ</w:t>
            </w:r>
          </w:p>
        </w:tc>
        <w:tc>
          <w:tcPr>
            <w:tcW w:type="dxa" w:w="4176"/>
            <w:vAlign w:val="center"/>
          </w:tcPr>
          <w:p>
            <w:r>
              <w:rPr>
                <w:rFonts w:ascii="Calibri" w:hAnsi="Calibri"/>
                <w:b w:val="0"/>
                <w:i w:val="0"/>
                <w:sz w:val="20"/>
              </w:rPr>
              <w:t>2·TPⱼ + FPⱼ + FNⱼ</w:t>
            </w:r>
          </w:p>
        </w:tc>
      </w:tr>
    </w:tbl>
    <w:p>
      <w:pPr>
        <w:spacing w:after="80"/>
      </w:pPr>
    </w:p>
    <w:p>
      <w:pPr>
        <w:spacing w:after="160"/>
      </w:pPr>
      <w:r>
        <w:rPr>
          <w:rFonts w:ascii="Calibri" w:hAnsi="Calibri"/>
          <w:b w:val="0"/>
          <w:i w:val="0"/>
          <w:sz w:val="22"/>
        </w:rPr>
        <w:t>With these definitions, R in equation (1) reduces exactly to the standard pooled precision (ΣTP / Σ(TP+FP)), pooled recall (ΣTP / Σ(TP+FN)), and pooled/micro F1, respectively — the ratio-of-totals estimator is simply the correctly weighted version of the same headline metrics already being reported, with a variance formula attached that respects the participant clustering. For bench testing, uⱼ and xⱼ are defined analogously from that study’s own accuracy metric (e.g. |counted − delivered| puffs over delivered puffs); see Section 6.</w:t>
      </w:r>
    </w:p>
    <w:p>
      <w:pPr>
        <w:pStyle w:val="Heading2"/>
      </w:pPr>
      <w:r>
        <w:t>3.4 Assumptions</w:t>
      </w:r>
    </w:p>
    <w:p>
      <w:pPr>
        <w:pStyle w:val="ListBullet"/>
        <w:spacing w:after="120"/>
      </w:pPr>
      <w:r>
        <w:rPr>
          <w:rFonts w:ascii="Calibri" w:hAnsi="Calibri"/>
          <w:b w:val="0"/>
          <w:i w:val="0"/>
          <w:sz w:val="22"/>
        </w:rPr>
        <w:t>No distributional assumption is placed on individual puffs within a cluster; puffs are not treated as independent observations.</w:t>
      </w:r>
    </w:p>
    <w:p>
      <w:pPr>
        <w:pStyle w:val="ListBullet"/>
        <w:spacing w:after="120"/>
      </w:pPr>
      <w:r>
        <w:rPr>
          <w:rFonts w:ascii="Calibri" w:hAnsi="Calibri"/>
          <w:b w:val="0"/>
          <w:i w:val="0"/>
          <w:sz w:val="22"/>
        </w:rPr>
        <w:t>Clusters are weighted by their own puff count (xⱼ), so a cluster contributing more puffs has proportionally more influence on R — this is the intended behavior, not a bias to correct.</w:t>
      </w:r>
    </w:p>
    <w:p>
      <w:pPr>
        <w:pStyle w:val="ListBullet"/>
        <w:spacing w:after="120"/>
      </w:pPr>
      <w:r>
        <w:rPr>
          <w:rFonts w:ascii="Calibri" w:hAnsi="Calibri"/>
          <w:b w:val="0"/>
          <w:i w:val="0"/>
          <w:sz w:val="22"/>
        </w:rPr>
        <w:t>A cluster with n = 1 (a single session/participant) admits no between-cluster variance contribution and should be reported without an interval, consistent with the existing Table 3 footnote convention.</w:t>
      </w:r>
    </w:p>
    <w:p>
      <w:pPr>
        <w:pStyle w:val="Heading1"/>
      </w:pPr>
      <w:r>
        <w:t>4. Method 2 — Macro CI: percentile bootstrap</w:t>
      </w:r>
    </w:p>
    <w:p>
      <w:pPr>
        <w:spacing w:after="160"/>
      </w:pPr>
      <w:r>
        <w:rPr>
          <w:rFonts w:ascii="Calibri" w:hAnsi="Calibri"/>
          <w:b w:val="0"/>
          <w:i w:val="0"/>
          <w:sz w:val="22"/>
        </w:rPr>
        <w:t>This is the secondary estimator, reported to satisfy the reviewer request to distinguish pooled from participant-level (cluster-level) performance, and to show how much an individual cluster’s own performance varies.</w:t>
      </w:r>
    </w:p>
    <w:p>
      <w:pPr>
        <w:pStyle w:val="Heading2"/>
      </w:pPr>
      <w:r>
        <w:t>4.1 Setup and procedure</w:t>
      </w:r>
    </w:p>
    <w:p>
      <w:pPr>
        <w:pStyle w:val="ListBullet"/>
        <w:spacing w:after="120"/>
      </w:pPr>
      <w:r>
        <w:rPr>
          <w:rFonts w:ascii="Calibri" w:hAnsi="Calibri"/>
          <w:b w:val="0"/>
          <w:i w:val="0"/>
          <w:sz w:val="22"/>
        </w:rPr>
        <w:t xml:space="preserve">For each cluster j, compute its own ratio: </w:t>
      </w:r>
      <w:r>
        <w:rPr>
          <w:rFonts w:ascii="Calibri" w:hAnsi="Calibri"/>
          <w:b w:val="0"/>
          <w:i/>
          <w:sz w:val="22"/>
        </w:rPr>
        <w:t>r</w:t>
      </w:r>
      <w:r>
        <w:rPr>
          <w:rFonts w:ascii="Calibri" w:hAnsi="Calibri"/>
          <w:b w:val="0"/>
          <w:i w:val="0"/>
          <w:sz w:val="22"/>
          <w:vertAlign w:val="subscript"/>
        </w:rPr>
        <w:t>j</w:t>
      </w:r>
      <w:r>
        <w:rPr>
          <w:rFonts w:ascii="Calibri" w:hAnsi="Calibri"/>
          <w:b w:val="0"/>
          <w:i w:val="0"/>
          <w:sz w:val="22"/>
        </w:rPr>
        <w:t xml:space="preserve"> = </w:t>
      </w:r>
      <w:r>
        <w:rPr>
          <w:rFonts w:ascii="Calibri" w:hAnsi="Calibri"/>
          <w:b w:val="0"/>
          <w:i/>
          <w:sz w:val="22"/>
        </w:rPr>
        <w:t>u</w:t>
      </w:r>
      <w:r>
        <w:rPr>
          <w:rFonts w:ascii="Calibri" w:hAnsi="Calibri"/>
          <w:b w:val="0"/>
          <w:i w:val="0"/>
          <w:sz w:val="22"/>
          <w:vertAlign w:val="subscript"/>
        </w:rPr>
        <w:t>j</w:t>
      </w:r>
      <w:r>
        <w:rPr>
          <w:rFonts w:ascii="Calibri" w:hAnsi="Calibri"/>
          <w:b w:val="0"/>
          <w:i w:val="0"/>
          <w:sz w:val="22"/>
        </w:rPr>
        <w:t xml:space="preserve"> / </w:t>
      </w:r>
      <w:r>
        <w:rPr>
          <w:rFonts w:ascii="Calibri" w:hAnsi="Calibri"/>
          <w:b w:val="0"/>
          <w:i/>
          <w:sz w:val="22"/>
        </w:rPr>
        <w:t>x</w:t>
      </w:r>
      <w:r>
        <w:rPr>
          <w:rFonts w:ascii="Calibri" w:hAnsi="Calibri"/>
          <w:b w:val="0"/>
          <w:i w:val="0"/>
          <w:sz w:val="22"/>
          <w:vertAlign w:val="subscript"/>
        </w:rPr>
        <w:t>j</w:t>
      </w:r>
      <w:r>
        <w:rPr>
          <w:rFonts w:ascii="Calibri" w:hAnsi="Calibri"/>
          <w:b w:val="0"/>
          <w:i w:val="0"/>
          <w:sz w:val="22"/>
        </w:rPr>
        <w:t xml:space="preserve"> (e.g., participant j’s own precision).</w:t>
      </w:r>
    </w:p>
    <w:p>
      <w:pPr>
        <w:pStyle w:val="ListBullet"/>
        <w:spacing w:after="120"/>
      </w:pPr>
      <w:r>
        <w:rPr>
          <w:rFonts w:ascii="Calibri" w:hAnsi="Calibri"/>
          <w:b w:val="0"/>
          <w:i w:val="0"/>
          <w:sz w:val="22"/>
        </w:rPr>
        <w:t xml:space="preserve">Macro point estimate: the plain, unweighted mean of </w:t>
      </w:r>
      <w:r>
        <w:rPr>
          <w:rFonts w:ascii="Calibri" w:hAnsi="Calibri"/>
          <w:b w:val="0"/>
          <w:i/>
          <w:sz w:val="22"/>
        </w:rPr>
        <w:t>r</w:t>
      </w:r>
      <w:r>
        <w:rPr>
          <w:rFonts w:ascii="Calibri" w:hAnsi="Calibri"/>
          <w:b w:val="0"/>
          <w:i w:val="0"/>
          <w:sz w:val="22"/>
          <w:vertAlign w:val="subscript"/>
        </w:rPr>
        <w:t>1</w:t>
      </w:r>
      <w:r>
        <w:rPr>
          <w:rFonts w:ascii="Calibri" w:hAnsi="Calibri"/>
          <w:b w:val="0"/>
          <w:i w:val="0"/>
          <w:sz w:val="22"/>
        </w:rPr>
        <w:t xml:space="preserve">, …, </w:t>
      </w:r>
      <w:r>
        <w:rPr>
          <w:rFonts w:ascii="Calibri" w:hAnsi="Calibri"/>
          <w:b w:val="0"/>
          <w:i/>
          <w:sz w:val="22"/>
        </w:rPr>
        <w:t>r</w:t>
      </w:r>
      <w:r>
        <w:rPr>
          <w:rFonts w:ascii="Calibri" w:hAnsi="Calibri"/>
          <w:b w:val="0"/>
          <w:i w:val="0"/>
          <w:sz w:val="22"/>
          <w:vertAlign w:val="subscript"/>
        </w:rPr>
        <w:t>n</w:t>
      </w:r>
      <w:r>
        <w:rPr>
          <w:rFonts w:ascii="Calibri" w:hAnsi="Calibri"/>
          <w:b w:val="0"/>
          <w:i w:val="0"/>
          <w:sz w:val="22"/>
        </w:rPr>
        <w:t>.</w:t>
      </w:r>
    </w:p>
    <w:p>
      <w:pPr>
        <w:pStyle w:val="ListBullet"/>
        <w:spacing w:after="120"/>
      </w:pPr>
      <w:r>
        <w:rPr>
          <w:rFonts w:ascii="Calibri" w:hAnsi="Calibri"/>
          <w:b w:val="0"/>
          <w:i w:val="0"/>
          <w:sz w:val="22"/>
        </w:rPr>
        <w:t>95% CI via percentile bootstrap: resample the n clusters with replacement, recompute the unweighted mean of the resampled clusters’ rⱼ values, repeat for 10,000 replicates, and take the 2.5th and 97.5th percentiles of the resulting distribution of means as the CI bounds.</w:t>
      </w:r>
    </w:p>
    <w:p>
      <w:pPr>
        <w:pStyle w:val="ListBullet"/>
        <w:spacing w:after="120"/>
      </w:pPr>
      <w:r>
        <w:rPr>
          <w:rFonts w:ascii="Calibri" w:hAnsi="Calibri"/>
          <w:b w:val="0"/>
          <w:i w:val="0"/>
          <w:sz w:val="22"/>
        </w:rPr>
        <w:t>A fixed random seed is used for reproducibility (seed = 42 in the human-study implementation; any fixed, documented seed is acceptable for bench testing — the seed value itself need not match across studies, only the method).</w:t>
      </w:r>
    </w:p>
    <w:p>
      <w:pPr>
        <w:pStyle w:val="Heading2"/>
      </w:pPr>
      <w:r>
        <w:t>4.2 Why a bootstrap, not a normal-theory (t) interval</w:t>
      </w:r>
    </w:p>
    <w:p>
      <w:pPr>
        <w:spacing w:after="160"/>
      </w:pPr>
      <w:r>
        <w:rPr>
          <w:rFonts w:ascii="Calibri" w:hAnsi="Calibri"/>
          <w:b w:val="0"/>
          <w:i w:val="0"/>
          <w:sz w:val="22"/>
        </w:rPr>
        <w:t>Several clusters’ own ratios sit exactly at the 1.0 boundary (e.g., 100% precision), which a normal/t-based interval handles poorly — it assumes a symmetric, unbounded distribution and can produce upper bounds above 1.0 or otherwise misstate the true shape of the sampling distribution. The percentile bootstrap makes no such assumption and, consistent with this manuscript’s existing convention for asymmetric intervals, is reported as [lower, upper] rather than mean ± half-width when the two sides differ.</w:t>
      </w:r>
    </w:p>
    <w:p>
      <w:pPr>
        <w:pStyle w:val="Heading1"/>
      </w:pPr>
      <w:r>
        <w:t>5. Why the two methods cannot be interchanged</w:t>
      </w:r>
    </w:p>
    <w:p>
      <w:pPr>
        <w:spacing w:after="160"/>
      </w:pPr>
      <w:r>
        <w:rPr>
          <w:rFonts w:ascii="Calibri" w:hAnsi="Calibri"/>
          <w:b w:val="0"/>
          <w:i w:val="0"/>
          <w:sz w:val="22"/>
        </w:rPr>
        <w:t>It is tempting to think Method 1 could simply be re-weighted to produce the macro estimate, or that Method 2 could be used for the pooled estimate. Neither is correct — the two point estimates are related by a specific algebraic identity that shows they are only equal in the special case of equal cluster sizes:</w:t>
      </w:r>
    </w:p>
    <w:p>
      <w:pPr>
        <w:spacing w:after="200"/>
        <w:jc w:val="center"/>
      </w:pPr>
      <w:r>
        <w:rPr>
          <w:rFonts w:ascii="Calibri" w:hAnsi="Calibri"/>
          <w:b w:val="0"/>
          <w:i w:val="0"/>
          <w:sz w:val="26"/>
        </w:rPr>
        <w:t>Σ</w:t>
      </w:r>
      <w:r>
        <w:rPr>
          <w:rFonts w:ascii="Calibri" w:hAnsi="Calibri"/>
          <w:b w:val="0"/>
          <w:i w:val="0"/>
          <w:sz w:val="22"/>
          <w:vertAlign w:val="subscript"/>
        </w:rPr>
        <w:t>j</w:t>
      </w:r>
      <w:r>
        <w:rPr>
          <w:rFonts w:ascii="Calibri" w:hAnsi="Calibri"/>
          <w:b w:val="0"/>
          <w:i w:val="0"/>
          <w:sz w:val="22"/>
        </w:rPr>
        <w:t>(</w:t>
      </w:r>
      <w:r>
        <w:rPr>
          <w:rFonts w:ascii="Calibri" w:hAnsi="Calibri"/>
          <w:b w:val="0"/>
          <w:i/>
          <w:sz w:val="22"/>
        </w:rPr>
        <w:t>r</w:t>
      </w:r>
      <w:r>
        <w:rPr>
          <w:rFonts w:ascii="Calibri" w:hAnsi="Calibri"/>
          <w:b w:val="0"/>
          <w:i w:val="0"/>
          <w:sz w:val="22"/>
          <w:vertAlign w:val="subscript"/>
        </w:rPr>
        <w:t>j</w:t>
      </w:r>
      <w:r>
        <w:rPr>
          <w:rFonts w:ascii="Calibri" w:hAnsi="Calibri"/>
          <w:b w:val="0"/>
          <w:i w:val="0"/>
          <w:sz w:val="22"/>
        </w:rPr>
        <w:t xml:space="preserve"> · </w:t>
      </w:r>
      <w:r>
        <w:rPr>
          <w:rFonts w:ascii="Calibri" w:hAnsi="Calibri"/>
          <w:b w:val="0"/>
          <w:i/>
          <w:sz w:val="22"/>
        </w:rPr>
        <w:t>x</w:t>
      </w:r>
      <w:r>
        <w:rPr>
          <w:rFonts w:ascii="Calibri" w:hAnsi="Calibri"/>
          <w:b w:val="0"/>
          <w:i w:val="0"/>
          <w:sz w:val="22"/>
          <w:vertAlign w:val="subscript"/>
        </w:rPr>
        <w:t>j</w:t>
      </w:r>
      <w:r>
        <w:rPr>
          <w:rFonts w:ascii="Calibri" w:hAnsi="Calibri"/>
          <w:b w:val="0"/>
          <w:i w:val="0"/>
          <w:sz w:val="26"/>
        </w:rPr>
        <w:t>) / Σ</w:t>
      </w:r>
      <w:r>
        <w:rPr>
          <w:rFonts w:ascii="Calibri" w:hAnsi="Calibri"/>
          <w:b w:val="0"/>
          <w:i w:val="0"/>
          <w:sz w:val="22"/>
          <w:vertAlign w:val="subscript"/>
        </w:rPr>
        <w:t>j</w:t>
      </w:r>
      <w:r>
        <w:rPr>
          <w:rFonts w:ascii="Calibri" w:hAnsi="Calibri"/>
          <w:b w:val="0"/>
          <w:i/>
          <w:sz w:val="22"/>
        </w:rPr>
        <w:t>x</w:t>
      </w:r>
      <w:r>
        <w:rPr>
          <w:rFonts w:ascii="Calibri" w:hAnsi="Calibri"/>
          <w:b w:val="0"/>
          <w:i w:val="0"/>
          <w:sz w:val="22"/>
          <w:vertAlign w:val="subscript"/>
        </w:rPr>
        <w:t>j</w:t>
      </w:r>
      <w:r>
        <w:rPr>
          <w:rFonts w:ascii="Calibri" w:hAnsi="Calibri"/>
          <w:b w:val="0"/>
          <w:i w:val="0"/>
          <w:sz w:val="26"/>
        </w:rPr>
        <w:t xml:space="preserve">  =  Σ</w:t>
      </w:r>
      <w:r>
        <w:rPr>
          <w:rFonts w:ascii="Calibri" w:hAnsi="Calibri"/>
          <w:b w:val="0"/>
          <w:i w:val="0"/>
          <w:sz w:val="22"/>
          <w:vertAlign w:val="subscript"/>
        </w:rPr>
        <w:t>j</w:t>
      </w:r>
      <w:r>
        <w:rPr>
          <w:rFonts w:ascii="Calibri" w:hAnsi="Calibri"/>
          <w:b w:val="0"/>
          <w:i/>
          <w:sz w:val="22"/>
        </w:rPr>
        <w:t>u</w:t>
      </w:r>
      <w:r>
        <w:rPr>
          <w:rFonts w:ascii="Calibri" w:hAnsi="Calibri"/>
          <w:b w:val="0"/>
          <w:i w:val="0"/>
          <w:sz w:val="22"/>
          <w:vertAlign w:val="subscript"/>
        </w:rPr>
        <w:t>j</w:t>
      </w:r>
      <w:r>
        <w:rPr>
          <w:rFonts w:ascii="Calibri" w:hAnsi="Calibri"/>
          <w:b w:val="0"/>
          <w:i w:val="0"/>
          <w:sz w:val="26"/>
        </w:rPr>
        <w:t xml:space="preserve"> / Σ</w:t>
      </w:r>
      <w:r>
        <w:rPr>
          <w:rFonts w:ascii="Calibri" w:hAnsi="Calibri"/>
          <w:b w:val="0"/>
          <w:i w:val="0"/>
          <w:sz w:val="22"/>
          <w:vertAlign w:val="subscript"/>
        </w:rPr>
        <w:t>j</w:t>
      </w:r>
      <w:r>
        <w:rPr>
          <w:rFonts w:ascii="Calibri" w:hAnsi="Calibri"/>
          <w:b w:val="0"/>
          <w:i/>
          <w:sz w:val="22"/>
        </w:rPr>
        <w:t>x</w:t>
      </w:r>
      <w:r>
        <w:rPr>
          <w:rFonts w:ascii="Calibri" w:hAnsi="Calibri"/>
          <w:b w:val="0"/>
          <w:i w:val="0"/>
          <w:sz w:val="22"/>
          <w:vertAlign w:val="subscript"/>
        </w:rPr>
        <w:t>j</w:t>
      </w:r>
      <w:r>
        <w:rPr>
          <w:rFonts w:ascii="Calibri" w:hAnsi="Calibri"/>
          <w:b w:val="0"/>
          <w:i w:val="0"/>
          <w:sz w:val="22"/>
        </w:rPr>
        <w:t xml:space="preserve">  =  </w:t>
      </w:r>
      <w:r>
        <w:rPr>
          <w:rFonts w:ascii="Calibri" w:hAnsi="Calibri"/>
          <w:b w:val="0"/>
          <w:i/>
          <w:sz w:val="22"/>
        </w:rPr>
        <w:t>R</w:t>
      </w:r>
      <w:r>
        <w:rPr>
          <w:rFonts w:ascii="Calibri" w:hAnsi="Calibri"/>
          <w:b w:val="0"/>
          <w:i w:val="0"/>
          <w:sz w:val="22"/>
        </w:rPr>
        <w:t xml:space="preserve">     (4)</w:t>
      </w:r>
    </w:p>
    <w:p>
      <w:pPr>
        <w:spacing w:after="160"/>
      </w:pPr>
      <w:r>
        <w:rPr>
          <w:rFonts w:ascii="Calibri" w:hAnsi="Calibri"/>
          <w:b w:val="0"/>
          <w:i w:val="0"/>
          <w:sz w:val="22"/>
        </w:rPr>
        <w:t>That is: a puff-count-weighted average of the clusters’ own ratios collapses algebraically to exactly the pooled estimate R. There is no version of the ratio-of-totals variance formula (2) that targets the plain, unweighted mean instead — that formula’s entire derivation is built around the weighted quantity. Once cluster sizes are unequal, weighted and unweighted averages are different numbers with different sampling variability, and each needs the method built for it: the closed-form ratio-of-totals formula for the pooled (weighted) target, and the bootstrap for the macro (unweighted) target.</w:t>
      </w:r>
    </w:p>
    <w:p>
      <w:pPr>
        <w:spacing w:after="160"/>
      </w:pPr>
      <w:r>
        <w:rPr>
          <w:rFonts w:ascii="Calibri" w:hAnsi="Calibri"/>
          <w:b w:val="0"/>
          <w:i w:val="0"/>
          <w:sz w:val="22"/>
        </w:rPr>
        <w:t>A brief intuition: the clustering problem that Method 1 solves — puffs are not independent, and clusters contribute unequal numbers of them — is a puff-level problem. Once each cluster has already been collapsed to its own single ratio rⱼ, that problem no longer exists at the macro level: each cluster is now simply one independent number, and estimating the uncertainty of a mean of n independent numbers is an ordinary one-sample problem, for which a bootstrap (or, if the boundary-value issue were absent, a t-interval) is the standard tool — not the cluster-robust ratio-of-totals machinery.</w:t>
      </w:r>
    </w:p>
    <w:p>
      <w:pPr>
        <w:pStyle w:val="Heading1"/>
      </w:pPr>
      <w:r>
        <w:t>6. Applying this to bench lifecycle testing</w:t>
      </w:r>
    </w:p>
    <w:p>
      <w:pPr>
        <w:spacing w:after="160"/>
      </w:pPr>
      <w:r>
        <w:rPr>
          <w:rFonts w:ascii="Calibri" w:hAnsi="Calibri"/>
          <w:b w:val="0"/>
          <w:i w:val="0"/>
          <w:sz w:val="22"/>
        </w:rPr>
        <w:t>The same two methods apply, with the cluster and the metric definitions substituted as follows. The point of this section is to make sure both studies use the identical CI procedure, differing only in what plays the role of “cluster” and what uⱼ and xⱼ represent.</w:t>
      </w:r>
    </w:p>
    <w:tbl>
      <w:tblPr>
        <w:tblW w:type="auto" w:w="0"/>
        <w:tblLayout w:type="fixed"/>
        <w:tblLook w:firstColumn="1" w:firstRow="1" w:lastColumn="0" w:lastRow="0" w:noHBand="0" w:noVBand="1" w:val="04A0"/>
      </w:tblPr>
      <w:tblGrid>
        <w:gridCol w:w="2880"/>
        <w:gridCol w:w="2880"/>
        <w:gridCol w:w="2880"/>
      </w:tblGrid>
      <w:tr>
        <w:tc>
          <w:tcPr>
            <w:tcW w:type="dxa" w:w="2304"/>
            <w:vAlign w:val="center"/>
            <w:shd w:val="clear" w:color="auto" w:fill="1F4E78"/>
          </w:tcPr>
          <w:p>
            <w:r>
              <w:rPr>
                <w:rFonts w:ascii="Calibri" w:hAnsi="Calibri"/>
                <w:b/>
                <w:i w:val="0"/>
                <w:color w:val="FFFFFF"/>
                <w:sz w:val="20"/>
              </w:rPr>
            </w:r>
          </w:p>
        </w:tc>
        <w:tc>
          <w:tcPr>
            <w:tcW w:type="dxa" w:w="4176"/>
            <w:vAlign w:val="center"/>
            <w:shd w:val="clear" w:color="auto" w:fill="1F4E78"/>
          </w:tcPr>
          <w:p>
            <w:r>
              <w:rPr>
                <w:rFonts w:ascii="Calibri" w:hAnsi="Calibri"/>
                <w:b/>
                <w:i w:val="0"/>
                <w:color w:val="FFFFFF"/>
                <w:sz w:val="20"/>
              </w:rPr>
              <w:t>Human laboratory study</w:t>
            </w:r>
          </w:p>
        </w:tc>
        <w:tc>
          <w:tcPr>
            <w:tcW w:type="dxa" w:w="4176"/>
            <w:vAlign w:val="center"/>
            <w:shd w:val="clear" w:color="auto" w:fill="1F4E78"/>
          </w:tcPr>
          <w:p>
            <w:r>
              <w:rPr>
                <w:rFonts w:ascii="Calibri" w:hAnsi="Calibri"/>
                <w:b/>
                <w:i w:val="0"/>
                <w:color w:val="FFFFFF"/>
                <w:sz w:val="20"/>
              </w:rPr>
              <w:t>Bench lifecycle testing</w:t>
            </w:r>
          </w:p>
        </w:tc>
      </w:tr>
      <w:tr>
        <w:tc>
          <w:tcPr>
            <w:tcW w:type="dxa" w:w="2304"/>
            <w:vAlign w:val="center"/>
          </w:tcPr>
          <w:p>
            <w:r>
              <w:rPr>
                <w:rFonts w:ascii="Calibri" w:hAnsi="Calibri"/>
                <w:b w:val="0"/>
                <w:i w:val="0"/>
                <w:sz w:val="20"/>
              </w:rPr>
              <w:t>Cluster (j)</w:t>
            </w:r>
          </w:p>
        </w:tc>
        <w:tc>
          <w:tcPr>
            <w:tcW w:type="dxa" w:w="4176"/>
            <w:vAlign w:val="center"/>
          </w:tcPr>
          <w:p>
            <w:r>
              <w:rPr>
                <w:rFonts w:ascii="Calibri" w:hAnsi="Calibri"/>
                <w:b w:val="0"/>
                <w:i w:val="0"/>
                <w:sz w:val="20"/>
              </w:rPr>
              <w:t>Participant (n = 22)</w:t>
            </w:r>
          </w:p>
        </w:tc>
        <w:tc>
          <w:tcPr>
            <w:tcW w:type="dxa" w:w="4176"/>
            <w:vAlign w:val="center"/>
          </w:tcPr>
          <w:p>
            <w:r>
              <w:rPr>
                <w:rFonts w:ascii="Calibri" w:hAnsi="Calibri"/>
                <w:b w:val="0"/>
                <w:i w:val="0"/>
                <w:sz w:val="20"/>
              </w:rPr>
              <w:t>Device, or test session within a device</w:t>
            </w:r>
          </w:p>
        </w:tc>
      </w:tr>
      <w:tr>
        <w:tc>
          <w:tcPr>
            <w:tcW w:type="dxa" w:w="2304"/>
            <w:vAlign w:val="center"/>
          </w:tcPr>
          <w:p>
            <w:r>
              <w:rPr>
                <w:rFonts w:ascii="Calibri" w:hAnsi="Calibri"/>
                <w:b w:val="0"/>
                <w:i w:val="0"/>
                <w:sz w:val="20"/>
              </w:rPr>
              <w:t>Unit of analysis</w:t>
            </w:r>
          </w:p>
        </w:tc>
        <w:tc>
          <w:tcPr>
            <w:tcW w:type="dxa" w:w="4176"/>
            <w:vAlign w:val="center"/>
          </w:tcPr>
          <w:p>
            <w:r>
              <w:rPr>
                <w:rFonts w:ascii="Calibri" w:hAnsi="Calibri"/>
                <w:b w:val="0"/>
                <w:i w:val="0"/>
                <w:sz w:val="20"/>
              </w:rPr>
              <w:t>Puff</w:t>
            </w:r>
          </w:p>
        </w:tc>
        <w:tc>
          <w:tcPr>
            <w:tcW w:type="dxa" w:w="4176"/>
            <w:vAlign w:val="center"/>
          </w:tcPr>
          <w:p>
            <w:r>
              <w:rPr>
                <w:rFonts w:ascii="Calibri" w:hAnsi="Calibri"/>
                <w:b w:val="0"/>
                <w:i w:val="0"/>
                <w:sz w:val="20"/>
              </w:rPr>
              <w:t>Puff</w:t>
            </w:r>
          </w:p>
        </w:tc>
      </w:tr>
      <w:tr>
        <w:tc>
          <w:tcPr>
            <w:tcW w:type="dxa" w:w="2304"/>
            <w:vAlign w:val="center"/>
          </w:tcPr>
          <w:p>
            <w:r>
              <w:rPr>
                <w:rFonts w:ascii="Calibri" w:hAnsi="Calibri"/>
                <w:b w:val="0"/>
                <w:i w:val="0"/>
                <w:sz w:val="20"/>
              </w:rPr>
              <w:t>Pooled method</w:t>
            </w:r>
          </w:p>
        </w:tc>
        <w:tc>
          <w:tcPr>
            <w:tcW w:type="dxa" w:w="4176"/>
            <w:vAlign w:val="center"/>
          </w:tcPr>
          <w:p>
            <w:r>
              <w:rPr>
                <w:rFonts w:ascii="Calibri" w:hAnsi="Calibri"/>
                <w:b w:val="0"/>
                <w:i w:val="0"/>
                <w:sz w:val="20"/>
              </w:rPr>
              <w:t>Eq. (1)–(3), Section 3</w:t>
            </w:r>
          </w:p>
        </w:tc>
        <w:tc>
          <w:tcPr>
            <w:tcW w:type="dxa" w:w="4176"/>
            <w:vAlign w:val="center"/>
          </w:tcPr>
          <w:p>
            <w:r>
              <w:rPr>
                <w:rFonts w:ascii="Calibri" w:hAnsi="Calibri"/>
                <w:b w:val="0"/>
                <w:i w:val="0"/>
                <w:sz w:val="20"/>
              </w:rPr>
              <w:t>Eq. (1)–(3), Section 3 — identical formula</w:t>
            </w:r>
          </w:p>
        </w:tc>
      </w:tr>
      <w:tr>
        <w:tc>
          <w:tcPr>
            <w:tcW w:type="dxa" w:w="2304"/>
            <w:vAlign w:val="center"/>
          </w:tcPr>
          <w:p>
            <w:r>
              <w:rPr>
                <w:rFonts w:ascii="Calibri" w:hAnsi="Calibri"/>
                <w:b w:val="0"/>
                <w:i w:val="0"/>
                <w:sz w:val="20"/>
              </w:rPr>
              <w:t>Macro method</w:t>
            </w:r>
          </w:p>
        </w:tc>
        <w:tc>
          <w:tcPr>
            <w:tcW w:type="dxa" w:w="4176"/>
            <w:vAlign w:val="center"/>
          </w:tcPr>
          <w:p>
            <w:r>
              <w:rPr>
                <w:rFonts w:ascii="Calibri" w:hAnsi="Calibri"/>
                <w:b w:val="0"/>
                <w:i w:val="0"/>
                <w:sz w:val="20"/>
              </w:rPr>
              <w:t>Percentile bootstrap, Section 4</w:t>
            </w:r>
          </w:p>
        </w:tc>
        <w:tc>
          <w:tcPr>
            <w:tcW w:type="dxa" w:w="4176"/>
            <w:vAlign w:val="center"/>
          </w:tcPr>
          <w:p>
            <w:r>
              <w:rPr>
                <w:rFonts w:ascii="Calibri" w:hAnsi="Calibri"/>
                <w:b w:val="0"/>
                <w:i w:val="0"/>
                <w:sz w:val="20"/>
              </w:rPr>
              <w:t>Percentile bootstrap, Section 4 — identical procedure</w:t>
            </w:r>
          </w:p>
        </w:tc>
      </w:tr>
      <w:tr>
        <w:tc>
          <w:tcPr>
            <w:tcW w:type="dxa" w:w="2304"/>
            <w:vAlign w:val="center"/>
          </w:tcPr>
          <w:p>
            <w:r>
              <w:rPr>
                <w:rFonts w:ascii="Calibri" w:hAnsi="Calibri"/>
                <w:b w:val="0"/>
                <w:i w:val="0"/>
                <w:sz w:val="20"/>
              </w:rPr>
              <w:t>uⱼ / xⱼ example</w:t>
            </w:r>
          </w:p>
        </w:tc>
        <w:tc>
          <w:tcPr>
            <w:tcW w:type="dxa" w:w="4176"/>
            <w:vAlign w:val="center"/>
          </w:tcPr>
          <w:p>
            <w:r>
              <w:rPr>
                <w:rFonts w:ascii="Calibri" w:hAnsi="Calibri"/>
                <w:b w:val="0"/>
                <w:i w:val="0"/>
                <w:sz w:val="20"/>
              </w:rPr>
              <w:t>Precision: TPⱼ / (TPⱼ+FPⱼ)</w:t>
            </w:r>
          </w:p>
        </w:tc>
        <w:tc>
          <w:tcPr>
            <w:tcW w:type="dxa" w:w="4176"/>
            <w:vAlign w:val="center"/>
          </w:tcPr>
          <w:p>
            <w:r>
              <w:rPr>
                <w:rFonts w:ascii="Calibri" w:hAnsi="Calibri"/>
                <w:b w:val="0"/>
                <w:i w:val="0"/>
                <w:sz w:val="20"/>
              </w:rPr>
              <w:t>Count accuracy: |counted−delivered|ⱼ / deliveredⱼ</w:t>
            </w:r>
          </w:p>
        </w:tc>
      </w:tr>
    </w:tbl>
    <w:p>
      <w:pPr>
        <w:spacing w:after="80"/>
      </w:pPr>
    </w:p>
    <w:p>
      <w:pPr>
        <w:spacing w:after="160"/>
      </w:pPr>
      <w:r>
        <w:rPr>
          <w:rFonts w:ascii="Calibri" w:hAnsi="Calibri"/>
          <w:b w:val="0"/>
          <w:i w:val="0"/>
          <w:sz w:val="22"/>
        </w:rPr>
        <w:t>Note: the bench-testing reference spreadsheet reviewed for this study (“FRIENDS-Data-V5-CI-corrected.xlsx”) already implements the closed-form ratio-of-totals formula in Section 3 (verified directly from its cell formulas: SUMPRODUCT + TINV throughout, no random/resampling functions present). A macro-level bootstrap CI, as in Section 4, has not yet been added on the bench side; Section 4 above is the specification to use if/when that is added, so that both studies report the macro estimate the same way.</w:t>
      </w:r>
    </w:p>
    <w:p>
      <w:pPr>
        <w:pStyle w:val="Heading1"/>
      </w:pPr>
      <w:r>
        <w:t>7. Implementation</w:t>
      </w:r>
    </w:p>
    <w:p>
      <w:pPr>
        <w:spacing w:after="160"/>
      </w:pPr>
      <w:r>
        <w:rPr>
          <w:rFonts w:ascii="Calibri" w:hAnsi="Calibri"/>
          <w:b w:val="0"/>
          <w:i w:val="0"/>
          <w:sz w:val="22"/>
        </w:rPr>
        <w:t>Both methods are implemented for the human laboratory study in Script2_Human_Study_Confidence_Intervals.py (Codes/ folder), which reads reconciled per-participant TP/FN/FP counts and produces a workbook with: (a) live Excel formulas implementing equations (1)–(3) for the pooled CI, auditable by clicking any cell; and (b) the macro bootstrap CI (Section 4), with the random seed and replicate count documented in the output workbook itself. This script is available for direct inspection alongside this document.</w:t>
      </w:r>
    </w:p>
    <w:p>
      <w:pPr>
        <w:pStyle w:val="Heading1"/>
      </w:pPr>
      <w:r>
        <w:t>Reference</w:t>
      </w:r>
    </w:p>
    <w:p>
      <w:pPr>
        <w:spacing w:after="160"/>
      </w:pPr>
      <w:r>
        <w:rPr>
          <w:rFonts w:ascii="Calibri" w:hAnsi="Calibri"/>
          <w:b w:val="0"/>
          <w:i w:val="0"/>
          <w:sz w:val="22"/>
        </w:rPr>
        <w:t>Cochran, W. G. (1977). Sampling Techniques (3rd ed.), Section 6.3 (ratio estimation in cluster and stratified sampling). Wiley.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