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Correlation of online and offline prices by country</w:t>
      </w:r>
    </w:p>
    <w:tbl>
      <w:tblPr>
        <w:tblStyle w:val="Table"/>
        <w:tblW w:type="pct" w:w="1944"/>
        <w:tblLayout w:type="fixed"/>
        <w:tblLook w:firstRow="1" w:lastRow="0" w:firstColumn="0" w:lastColumn="0" w:noHBand="0" w:noVBand="0" w:val="0020"/>
        <w:tblCaption w:val="Correlation of online and offline prices by country"/>
      </w:tblPr>
      <w:tblGrid>
        <w:gridCol w:w="154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country_f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BRAZIL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CHINA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GERMANY</w:t>
            </w:r>
          </w:p>
        </w:tc>
        <w:tc>
          <w:tcPr/>
          <w:p>
            <w:pPr>
              <w:pStyle w:val="Compact"/>
            </w:pPr>
            <w:r>
              <w:t xml:space="preserve">0.645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JAPAN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SOUTHAFRICA</w:t>
            </w:r>
          </w:p>
        </w:tc>
        <w:tc>
          <w:tcPr/>
          <w:p>
            <w:pPr>
              <w:pStyle w:val="Compact"/>
            </w:pPr>
            <w:r>
              <w:t xml:space="preserve">0.974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2026-10-05T10:56:15Z</dcterms:created>
  <dcterms:modified xsi:type="dcterms:W3CDTF">2026-10-05T10:56:15Z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