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7715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B40E7">
            <w:trPr>
              <w:trHeight w:val="2880"/>
              <w:jc w:val="center"/>
            </w:trPr>
            <w:tc>
              <w:tcPr>
                <w:tcW w:w="5000" w:type="pct"/>
              </w:tcPr>
              <w:p w:rsidR="00AB40E7" w:rsidRDefault="00AB40E7" w:rsidP="00AB40E7">
                <w:pPr>
                  <w:pStyle w:val="NoSpacing"/>
                  <w:jc w:val="center"/>
                  <w:rPr>
                    <w:rFonts w:asciiTheme="majorHAnsi" w:eastAsiaTheme="majorEastAsia" w:hAnsiTheme="majorHAnsi" w:cstheme="majorBidi"/>
                    <w:caps/>
                  </w:rPr>
                </w:pPr>
              </w:p>
            </w:tc>
          </w:tr>
          <w:tr w:rsidR="00AB40E7" w:rsidTr="00AB40E7">
            <w:trPr>
              <w:trHeight w:val="1350"/>
              <w:jc w:val="center"/>
            </w:trPr>
            <w:sdt>
              <w:sdtPr>
                <w:rPr>
                  <w:rFonts w:asciiTheme="majorHAnsi" w:eastAsiaTheme="majorEastAsia" w:hAnsiTheme="majorHAnsi" w:cstheme="majorBidi"/>
                  <w:sz w:val="80"/>
                  <w:szCs w:val="80"/>
                </w:rPr>
                <w:alias w:val="Title"/>
                <w:id w:val="15524250"/>
                <w:placeholder>
                  <w:docPart w:val="ED41D5F36C2948C1B7C62B836F1C7D7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B40E7" w:rsidRDefault="00AB40E7" w:rsidP="00AB40E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WI11 Assembler Project</w:t>
                    </w:r>
                  </w:p>
                </w:tc>
              </w:sdtContent>
            </w:sdt>
          </w:tr>
          <w:tr w:rsidR="00AB40E7">
            <w:trPr>
              <w:trHeight w:val="720"/>
              <w:jc w:val="center"/>
            </w:trPr>
            <w:sdt>
              <w:sdtPr>
                <w:rPr>
                  <w:rFonts w:asciiTheme="majorHAnsi" w:eastAsiaTheme="majorEastAsia" w:hAnsiTheme="majorHAnsi" w:cstheme="majorBidi"/>
                  <w:sz w:val="44"/>
                  <w:szCs w:val="44"/>
                </w:rPr>
                <w:alias w:val="Subtitle"/>
                <w:id w:val="15524255"/>
                <w:placeholder>
                  <w:docPart w:val="80293576216E43E5A665C376784079D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B40E7" w:rsidRDefault="00AB40E7" w:rsidP="00AB40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AB40E7">
            <w:trPr>
              <w:trHeight w:val="360"/>
              <w:jc w:val="center"/>
            </w:trPr>
            <w:tc>
              <w:tcPr>
                <w:tcW w:w="5000" w:type="pct"/>
                <w:vAlign w:val="center"/>
              </w:tcPr>
              <w:p w:rsidR="00AB40E7" w:rsidRDefault="00AB40E7">
                <w:pPr>
                  <w:pStyle w:val="NoSpacing"/>
                  <w:jc w:val="center"/>
                </w:pPr>
                <w:r>
                  <w:t xml:space="preserve"> </w:t>
                </w:r>
              </w:p>
            </w:tc>
          </w:tr>
          <w:tr w:rsidR="00AB40E7">
            <w:trPr>
              <w:trHeight w:val="360"/>
              <w:jc w:val="center"/>
            </w:trPr>
            <w:sdt>
              <w:sdtPr>
                <w:rPr>
                  <w:b/>
                  <w:bCs/>
                </w:rPr>
                <w:alias w:val="Author"/>
                <w:id w:val="15524260"/>
                <w:placeholder>
                  <w:docPart w:val="C4921915FA634AE099DE38EF71A394F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B40E7" w:rsidRDefault="00AB40E7">
                    <w:pPr>
                      <w:pStyle w:val="NoSpacing"/>
                      <w:jc w:val="center"/>
                      <w:rPr>
                        <w:b/>
                        <w:bCs/>
                      </w:rPr>
                    </w:pPr>
                    <w:r>
                      <w:rPr>
                        <w:b/>
                        <w:bCs/>
                      </w:rPr>
                      <w:t>Elliot Schumacher, Brad Kline, Zach Smith, Evan Todd, and Ryan Powers</w:t>
                    </w:r>
                  </w:p>
                </w:tc>
              </w:sdtContent>
            </w:sdt>
          </w:tr>
          <w:tr w:rsidR="00AB40E7">
            <w:trPr>
              <w:trHeight w:val="360"/>
              <w:jc w:val="center"/>
            </w:trPr>
            <w:sdt>
              <w:sdtPr>
                <w:rPr>
                  <w:b/>
                  <w:bCs/>
                </w:rPr>
                <w:alias w:val="Date"/>
                <w:id w:val="516659546"/>
                <w:placeholder>
                  <w:docPart w:val="344FECCA1E714B26B34DBAF2C0FF52C6"/>
                </w:placeholder>
                <w:dataBinding w:prefixMappings="xmlns:ns0='http://schemas.microsoft.com/office/2006/coverPageProps'" w:xpath="/ns0:CoverPageProperties[1]/ns0:PublishDate[1]" w:storeItemID="{55AF091B-3C7A-41E3-B477-F2FDAA23CFDA}"/>
                <w:date w:fullDate="2011-02-23T00:00:00Z">
                  <w:dateFormat w:val="M/d/yyyy"/>
                  <w:lid w:val="en-US"/>
                  <w:storeMappedDataAs w:val="dateTime"/>
                  <w:calendar w:val="gregorian"/>
                </w:date>
              </w:sdtPr>
              <w:sdtContent>
                <w:tc>
                  <w:tcPr>
                    <w:tcW w:w="5000" w:type="pct"/>
                    <w:vAlign w:val="center"/>
                  </w:tcPr>
                  <w:p w:rsidR="00AB40E7" w:rsidRDefault="00AB40E7">
                    <w:pPr>
                      <w:pStyle w:val="NoSpacing"/>
                      <w:jc w:val="center"/>
                      <w:rPr>
                        <w:b/>
                        <w:bCs/>
                      </w:rPr>
                    </w:pPr>
                    <w:r>
                      <w:rPr>
                        <w:b/>
                        <w:bCs/>
                      </w:rPr>
                      <w:t>2/23/2011</w:t>
                    </w:r>
                  </w:p>
                </w:tc>
              </w:sdtContent>
            </w:sdt>
          </w:tr>
        </w:tbl>
        <w:p w:rsidR="00AB40E7" w:rsidRDefault="00AB40E7"/>
        <w:p w:rsidR="00AB40E7" w:rsidRDefault="00AB40E7"/>
        <w:p w:rsidR="00AB40E7" w:rsidRDefault="00AB40E7"/>
        <w:p w:rsidR="00AB40E7" w:rsidRDefault="00AB40E7">
          <w:r>
            <w:br w:type="page"/>
          </w:r>
        </w:p>
      </w:sdtContent>
    </w:sdt>
    <w:sdt>
      <w:sdtPr>
        <w:rPr>
          <w:rFonts w:asciiTheme="minorHAnsi" w:eastAsiaTheme="minorEastAsia" w:hAnsiTheme="minorHAnsi" w:cstheme="minorBidi"/>
          <w:b w:val="0"/>
          <w:bCs w:val="0"/>
          <w:color w:val="auto"/>
          <w:sz w:val="22"/>
          <w:szCs w:val="22"/>
        </w:rPr>
        <w:id w:val="677205"/>
        <w:docPartObj>
          <w:docPartGallery w:val="Table of Contents"/>
          <w:docPartUnique/>
        </w:docPartObj>
      </w:sdtPr>
      <w:sdtContent>
        <w:p w:rsidR="00AB40E7" w:rsidRDefault="00AB40E7">
          <w:pPr>
            <w:pStyle w:val="TOCHeading"/>
          </w:pPr>
          <w:r>
            <w:t>Table of Contents</w:t>
          </w:r>
        </w:p>
        <w:p w:rsidR="00AB40E7" w:rsidRDefault="00AB40E7">
          <w:pPr>
            <w:pStyle w:val="TOC1"/>
          </w:pPr>
          <w:r>
            <w:rPr>
              <w:b/>
            </w:rPr>
            <w:t>Introduction</w:t>
          </w:r>
          <w:r>
            <w:ptab w:relativeTo="margin" w:alignment="right" w:leader="dot"/>
          </w:r>
          <w:r>
            <w:rPr>
              <w:b/>
            </w:rPr>
            <w:t>1</w:t>
          </w:r>
        </w:p>
        <w:p w:rsidR="00AB40E7" w:rsidRDefault="00AB40E7">
          <w:pPr>
            <w:pStyle w:val="TOC1"/>
          </w:pPr>
          <w:r>
            <w:rPr>
              <w:b/>
            </w:rPr>
            <w:t>User’s Guide</w:t>
          </w:r>
          <w:r>
            <w:ptab w:relativeTo="margin" w:alignment="right" w:leader="dot"/>
          </w:r>
          <w:r>
            <w:rPr>
              <w:b/>
            </w:rPr>
            <w:t>1</w:t>
          </w:r>
        </w:p>
        <w:p w:rsidR="00AB40E7" w:rsidRDefault="00AB40E7">
          <w:pPr>
            <w:pStyle w:val="TOC2"/>
            <w:ind w:left="216"/>
          </w:pPr>
          <w:r>
            <w:t>Installing the Software</w:t>
          </w:r>
          <w:r>
            <w:ptab w:relativeTo="margin" w:alignment="right" w:leader="dot"/>
          </w:r>
          <w:r w:rsidR="0041074E">
            <w:t>3</w:t>
          </w:r>
        </w:p>
        <w:p w:rsidR="00AB40E7" w:rsidRDefault="00AB40E7" w:rsidP="00AB40E7">
          <w:pPr>
            <w:pStyle w:val="TOC2"/>
            <w:ind w:left="216"/>
          </w:pPr>
          <w:r>
            <w:t>Writing a Program</w:t>
          </w:r>
          <w:r>
            <w:ptab w:relativeTo="margin" w:alignment="right" w:leader="dot"/>
          </w:r>
          <w:r w:rsidR="0041074E">
            <w:t>3</w:t>
          </w:r>
        </w:p>
        <w:p w:rsidR="00AB40E7" w:rsidRDefault="00AB40E7" w:rsidP="00AB40E7">
          <w:pPr>
            <w:pStyle w:val="TOC2"/>
            <w:ind w:left="216"/>
          </w:pPr>
          <w:r>
            <w:t>Compiling a Program</w:t>
          </w:r>
          <w:r>
            <w:ptab w:relativeTo="margin" w:alignment="right" w:leader="dot"/>
          </w:r>
          <w:r w:rsidR="0041074E">
            <w:t>16</w:t>
          </w:r>
        </w:p>
        <w:p w:rsidR="00AB40E7" w:rsidRPr="00AB40E7" w:rsidRDefault="00AB40E7" w:rsidP="00AB40E7">
          <w:pPr>
            <w:pStyle w:val="TOC2"/>
            <w:ind w:left="216"/>
          </w:pPr>
          <w:r>
            <w:t>Debugging Error Messages</w:t>
          </w:r>
          <w:r>
            <w:ptab w:relativeTo="margin" w:alignment="right" w:leader="dot"/>
          </w:r>
          <w:r w:rsidR="0041074E">
            <w:t>20</w:t>
          </w:r>
        </w:p>
        <w:p w:rsidR="00AB40E7" w:rsidRDefault="00AB40E7" w:rsidP="00AB40E7">
          <w:pPr>
            <w:pStyle w:val="TOC1"/>
          </w:pPr>
          <w:r>
            <w:rPr>
              <w:b/>
            </w:rPr>
            <w:t>Programmer’s Guide</w:t>
          </w:r>
          <w:r>
            <w:ptab w:relativeTo="margin" w:alignment="right" w:leader="dot"/>
          </w:r>
          <w:r>
            <w:rPr>
              <w:b/>
            </w:rPr>
            <w:t>1</w:t>
          </w:r>
        </w:p>
        <w:p w:rsidR="00AB40E7" w:rsidRDefault="000A70BC" w:rsidP="00AB40E7">
          <w:pPr>
            <w:pStyle w:val="TOC2"/>
            <w:ind w:left="216"/>
          </w:pPr>
          <w:r>
            <w:t>Assembler Overview</w:t>
          </w:r>
          <w:r w:rsidR="00AB40E7">
            <w:ptab w:relativeTo="margin" w:alignment="right" w:leader="dot"/>
          </w:r>
          <w:r w:rsidR="00AB40E7">
            <w:t>5</w:t>
          </w:r>
        </w:p>
        <w:p w:rsidR="000A70BC" w:rsidRDefault="000A70BC" w:rsidP="000A70BC">
          <w:pPr>
            <w:pStyle w:val="TOC2"/>
            <w:ind w:left="216"/>
          </w:pPr>
          <w:r>
            <w:t>Data Structures</w:t>
          </w:r>
          <w:r>
            <w:ptab w:relativeTo="margin" w:alignment="right" w:leader="dot"/>
          </w:r>
          <w:r>
            <w:t>5</w:t>
          </w:r>
        </w:p>
        <w:p w:rsidR="000A70BC" w:rsidRPr="000A70BC" w:rsidRDefault="000A70BC" w:rsidP="000A70BC">
          <w:pPr>
            <w:pStyle w:val="TOC2"/>
            <w:ind w:left="216"/>
          </w:pPr>
          <w:r>
            <w:t>Component Descriptions</w:t>
          </w:r>
          <w:r>
            <w:ptab w:relativeTo="margin" w:alignment="right" w:leader="dot"/>
          </w:r>
          <w:r>
            <w:t>5</w:t>
          </w:r>
        </w:p>
        <w:p w:rsidR="00AB40E7" w:rsidRDefault="00AB40E7" w:rsidP="00AB40E7">
          <w:pPr>
            <w:pStyle w:val="TOC1"/>
          </w:pPr>
          <w:r>
            <w:rPr>
              <w:b/>
            </w:rPr>
            <w:t>Testing Plan</w:t>
          </w:r>
          <w:r>
            <w:ptab w:relativeTo="margin" w:alignment="right" w:leader="dot"/>
          </w:r>
          <w:r>
            <w:rPr>
              <w:b/>
            </w:rPr>
            <w:t>1</w:t>
          </w:r>
        </w:p>
        <w:p w:rsidR="00AB40E7" w:rsidRDefault="00EE1836" w:rsidP="00AB40E7">
          <w:pPr>
            <w:pStyle w:val="TOC2"/>
            <w:ind w:left="216"/>
          </w:pPr>
          <w:r>
            <w:t>Object File Assembly</w:t>
          </w:r>
          <w:r w:rsidR="00AB40E7">
            <w:ptab w:relativeTo="margin" w:alignment="right" w:leader="dot"/>
          </w:r>
          <w:r>
            <w:t>2</w:t>
          </w:r>
        </w:p>
        <w:p w:rsidR="00AB40E7" w:rsidRDefault="00AB40E7" w:rsidP="00AB40E7">
          <w:pPr>
            <w:pStyle w:val="TOC1"/>
          </w:pPr>
          <w:r>
            <w:rPr>
              <w:b/>
            </w:rPr>
            <w:t>Meeting Minutes</w:t>
          </w:r>
          <w:r>
            <w:ptab w:relativeTo="margin" w:alignment="right" w:leader="dot"/>
          </w:r>
          <w:r>
            <w:rPr>
              <w:b/>
            </w:rPr>
            <w:t>1</w:t>
          </w:r>
        </w:p>
        <w:p w:rsidR="00AB40E7" w:rsidRDefault="00AB40E7" w:rsidP="00AB40E7">
          <w:pPr>
            <w:pStyle w:val="TOC2"/>
            <w:ind w:left="216"/>
          </w:pPr>
          <w:r>
            <w:t>February 5</w:t>
          </w:r>
          <w:r w:rsidRPr="00AB40E7">
            <w:rPr>
              <w:vertAlign w:val="superscript"/>
            </w:rPr>
            <w:t>th</w:t>
          </w:r>
          <w:r>
            <w:t>, 2011</w:t>
          </w:r>
          <w:r>
            <w:ptab w:relativeTo="margin" w:alignment="right" w:leader="dot"/>
          </w:r>
          <w:r>
            <w:t>1</w:t>
          </w:r>
        </w:p>
        <w:p w:rsidR="00AB40E7" w:rsidRPr="00AB40E7" w:rsidRDefault="00AB40E7" w:rsidP="00AB40E7">
          <w:pPr>
            <w:pStyle w:val="TOC2"/>
            <w:ind w:left="216"/>
          </w:pPr>
          <w:r>
            <w:t>February 10</w:t>
          </w:r>
          <w:r w:rsidRPr="00AB40E7">
            <w:rPr>
              <w:vertAlign w:val="superscript"/>
            </w:rPr>
            <w:t>th</w:t>
          </w:r>
          <w:r>
            <w:t>, 2011</w:t>
          </w:r>
          <w:r>
            <w:ptab w:relativeTo="margin" w:alignment="right" w:leader="dot"/>
          </w:r>
          <w:r>
            <w:t>2</w:t>
          </w:r>
        </w:p>
        <w:p w:rsidR="00AB40E7" w:rsidRPr="00AB40E7" w:rsidRDefault="00AB40E7" w:rsidP="00AB40E7">
          <w:pPr>
            <w:pStyle w:val="TOC2"/>
            <w:ind w:left="216"/>
          </w:pPr>
          <w:r>
            <w:t>February 17</w:t>
          </w:r>
          <w:r w:rsidRPr="00AB40E7">
            <w:rPr>
              <w:vertAlign w:val="superscript"/>
            </w:rPr>
            <w:t>th</w:t>
          </w:r>
          <w:r>
            <w:t>, 2011</w:t>
          </w:r>
          <w:r>
            <w:ptab w:relativeTo="margin" w:alignment="right" w:leader="dot"/>
          </w:r>
          <w:r>
            <w:t>4</w:t>
          </w:r>
        </w:p>
        <w:p w:rsidR="00AB40E7" w:rsidRPr="00AB40E7" w:rsidRDefault="00AB40E7" w:rsidP="00AB40E7">
          <w:pPr>
            <w:pStyle w:val="TOC2"/>
            <w:ind w:left="216"/>
          </w:pPr>
          <w:r>
            <w:t>February 22</w:t>
          </w:r>
          <w:r w:rsidRPr="00AB40E7">
            <w:rPr>
              <w:vertAlign w:val="superscript"/>
            </w:rPr>
            <w:t>th</w:t>
          </w:r>
          <w:r>
            <w:t>, 2011</w:t>
          </w:r>
          <w:r>
            <w:ptab w:relativeTo="margin" w:alignment="right" w:leader="dot"/>
          </w:r>
          <w:r>
            <w:t>6</w:t>
          </w:r>
        </w:p>
      </w:sdtContent>
    </w:sdt>
    <w:p w:rsidR="000A70BC" w:rsidRDefault="000A70BC">
      <w:r>
        <w:br w:type="page"/>
      </w:r>
    </w:p>
    <w:p w:rsidR="00B92FB2" w:rsidRDefault="000A70BC" w:rsidP="000A70BC">
      <w:pPr>
        <w:pStyle w:val="Heading1"/>
      </w:pPr>
      <w:r>
        <w:lastRenderedPageBreak/>
        <w:t>Introduction</w:t>
      </w:r>
    </w:p>
    <w:p w:rsidR="000A70BC" w:rsidRPr="000A70BC" w:rsidRDefault="00A3695E" w:rsidP="000A70BC">
      <w:r>
        <w:t>The WI11 Assembler is a program that takes an assembly language file and compiles it into an object file, which can be read in by a loader.  In the User’s Guide included in this set of documentation, there is further information on how to properly format an assembly language file and how the object file is formatted.  This document will help any user with some previous knowledge of assembly language architectures use the WI11 Assembler.  In the Programmer’s Guide, there is an overview of the Assembler structure, Data Structure, and of the Components.  This should be used only by someone who wants to unders</w:t>
      </w:r>
      <w:r w:rsidR="00315161">
        <w:t xml:space="preserve">tand how this program was written; it is not meant for a normal user.  In the Testing Plan, there is a detailed explanation of all testing completed on the program to verify that it works as expected.  Finally, the notes of all the group meetings are included as to </w:t>
      </w:r>
      <w:proofErr w:type="gramStart"/>
      <w:r w:rsidR="00315161">
        <w:t>provided</w:t>
      </w:r>
      <w:proofErr w:type="gramEnd"/>
      <w:r w:rsidR="00315161">
        <w:t xml:space="preserve"> further insight into the design of the program.</w:t>
      </w:r>
    </w:p>
    <w:sectPr w:rsidR="000A70BC" w:rsidRPr="000A70BC" w:rsidSect="00AB40E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C2487"/>
    <w:rsid w:val="00052285"/>
    <w:rsid w:val="00085567"/>
    <w:rsid w:val="000A70BC"/>
    <w:rsid w:val="00315161"/>
    <w:rsid w:val="0041074E"/>
    <w:rsid w:val="006237DE"/>
    <w:rsid w:val="007C2487"/>
    <w:rsid w:val="009019E9"/>
    <w:rsid w:val="00A3695E"/>
    <w:rsid w:val="00AB40E7"/>
    <w:rsid w:val="00EE1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285"/>
  </w:style>
  <w:style w:type="paragraph" w:styleId="Heading1">
    <w:name w:val="heading 1"/>
    <w:basedOn w:val="Normal"/>
    <w:next w:val="Normal"/>
    <w:link w:val="Heading1Char"/>
    <w:uiPriority w:val="9"/>
    <w:qFormat/>
    <w:rsid w:val="00AB4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0E7"/>
    <w:pPr>
      <w:spacing w:after="0" w:line="240" w:lineRule="auto"/>
    </w:pPr>
    <w:rPr>
      <w:rFonts w:eastAsiaTheme="minorEastAsia"/>
    </w:rPr>
  </w:style>
  <w:style w:type="character" w:customStyle="1" w:styleId="NoSpacingChar">
    <w:name w:val="No Spacing Char"/>
    <w:basedOn w:val="DefaultParagraphFont"/>
    <w:link w:val="NoSpacing"/>
    <w:uiPriority w:val="1"/>
    <w:rsid w:val="00AB40E7"/>
    <w:rPr>
      <w:rFonts w:eastAsiaTheme="minorEastAsia"/>
    </w:rPr>
  </w:style>
  <w:style w:type="paragraph" w:styleId="BalloonText">
    <w:name w:val="Balloon Text"/>
    <w:basedOn w:val="Normal"/>
    <w:link w:val="BalloonTextChar"/>
    <w:uiPriority w:val="99"/>
    <w:semiHidden/>
    <w:unhideWhenUsed/>
    <w:rsid w:val="00AB4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E7"/>
    <w:rPr>
      <w:rFonts w:ascii="Tahoma" w:hAnsi="Tahoma" w:cs="Tahoma"/>
      <w:sz w:val="16"/>
      <w:szCs w:val="16"/>
    </w:rPr>
  </w:style>
  <w:style w:type="character" w:customStyle="1" w:styleId="Heading1Char">
    <w:name w:val="Heading 1 Char"/>
    <w:basedOn w:val="DefaultParagraphFont"/>
    <w:link w:val="Heading1"/>
    <w:uiPriority w:val="9"/>
    <w:rsid w:val="00AB4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0E7"/>
    <w:pPr>
      <w:outlineLvl w:val="9"/>
    </w:pPr>
  </w:style>
  <w:style w:type="paragraph" w:styleId="TOC2">
    <w:name w:val="toc 2"/>
    <w:basedOn w:val="Normal"/>
    <w:next w:val="Normal"/>
    <w:autoRedefine/>
    <w:uiPriority w:val="39"/>
    <w:unhideWhenUsed/>
    <w:qFormat/>
    <w:rsid w:val="00AB40E7"/>
    <w:pPr>
      <w:spacing w:after="100"/>
      <w:ind w:left="220"/>
    </w:pPr>
    <w:rPr>
      <w:rFonts w:eastAsiaTheme="minorEastAsia"/>
    </w:rPr>
  </w:style>
  <w:style w:type="paragraph" w:styleId="TOC1">
    <w:name w:val="toc 1"/>
    <w:basedOn w:val="Normal"/>
    <w:next w:val="Normal"/>
    <w:autoRedefine/>
    <w:uiPriority w:val="39"/>
    <w:semiHidden/>
    <w:unhideWhenUsed/>
    <w:qFormat/>
    <w:rsid w:val="00AB40E7"/>
    <w:pPr>
      <w:spacing w:after="100"/>
    </w:pPr>
    <w:rPr>
      <w:rFonts w:eastAsiaTheme="minorEastAsia"/>
    </w:rPr>
  </w:style>
  <w:style w:type="paragraph" w:styleId="TOC3">
    <w:name w:val="toc 3"/>
    <w:basedOn w:val="Normal"/>
    <w:next w:val="Normal"/>
    <w:autoRedefine/>
    <w:uiPriority w:val="39"/>
    <w:unhideWhenUsed/>
    <w:qFormat/>
    <w:rsid w:val="00AB40E7"/>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41D5F36C2948C1B7C62B836F1C7D71"/>
        <w:category>
          <w:name w:val="General"/>
          <w:gallery w:val="placeholder"/>
        </w:category>
        <w:types>
          <w:type w:val="bbPlcHdr"/>
        </w:types>
        <w:behaviors>
          <w:behavior w:val="content"/>
        </w:behaviors>
        <w:guid w:val="{582B1446-8DFD-492B-9834-F2FB941CEBF2}"/>
      </w:docPartPr>
      <w:docPartBody>
        <w:p w:rsidR="00346C5C" w:rsidRDefault="00F26687" w:rsidP="00F26687">
          <w:pPr>
            <w:pStyle w:val="ED41D5F36C2948C1B7C62B836F1C7D71"/>
          </w:pPr>
          <w:r>
            <w:rPr>
              <w:rFonts w:asciiTheme="majorHAnsi" w:eastAsiaTheme="majorEastAsia" w:hAnsiTheme="majorHAnsi" w:cstheme="majorBidi"/>
              <w:sz w:val="80"/>
              <w:szCs w:val="80"/>
            </w:rPr>
            <w:t>[Type the document title]</w:t>
          </w:r>
        </w:p>
      </w:docPartBody>
    </w:docPart>
    <w:docPart>
      <w:docPartPr>
        <w:name w:val="80293576216E43E5A665C376784079DB"/>
        <w:category>
          <w:name w:val="General"/>
          <w:gallery w:val="placeholder"/>
        </w:category>
        <w:types>
          <w:type w:val="bbPlcHdr"/>
        </w:types>
        <w:behaviors>
          <w:behavior w:val="content"/>
        </w:behaviors>
        <w:guid w:val="{DE9CB8E9-66EA-4DB7-B150-1B7E7DF8B1FD}"/>
      </w:docPartPr>
      <w:docPartBody>
        <w:p w:rsidR="00346C5C" w:rsidRDefault="00F26687" w:rsidP="00F26687">
          <w:pPr>
            <w:pStyle w:val="80293576216E43E5A665C376784079DB"/>
          </w:pPr>
          <w:r>
            <w:rPr>
              <w:rFonts w:asciiTheme="majorHAnsi" w:eastAsiaTheme="majorEastAsia" w:hAnsiTheme="majorHAnsi" w:cstheme="majorBidi"/>
              <w:sz w:val="44"/>
              <w:szCs w:val="44"/>
            </w:rPr>
            <w:t>[Type the document subtitle]</w:t>
          </w:r>
        </w:p>
      </w:docPartBody>
    </w:docPart>
    <w:docPart>
      <w:docPartPr>
        <w:name w:val="C4921915FA634AE099DE38EF71A394FC"/>
        <w:category>
          <w:name w:val="General"/>
          <w:gallery w:val="placeholder"/>
        </w:category>
        <w:types>
          <w:type w:val="bbPlcHdr"/>
        </w:types>
        <w:behaviors>
          <w:behavior w:val="content"/>
        </w:behaviors>
        <w:guid w:val="{47FAB2F1-6555-40A7-8CB9-0EAC4F33FB66}"/>
      </w:docPartPr>
      <w:docPartBody>
        <w:p w:rsidR="00346C5C" w:rsidRDefault="00F26687" w:rsidP="00F26687">
          <w:pPr>
            <w:pStyle w:val="C4921915FA634AE099DE38EF71A394FC"/>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6687"/>
    <w:rsid w:val="00346C5C"/>
    <w:rsid w:val="006B76A5"/>
    <w:rsid w:val="00F26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A0909E0B74DDD8BB890822C7115D4">
    <w:name w:val="B25A0909E0B74DDD8BB890822C7115D4"/>
    <w:rsid w:val="00F26687"/>
  </w:style>
  <w:style w:type="paragraph" w:customStyle="1" w:styleId="E0045C6A9D46488698E3E853B2AABF92">
    <w:name w:val="E0045C6A9D46488698E3E853B2AABF92"/>
    <w:rsid w:val="00F26687"/>
  </w:style>
  <w:style w:type="paragraph" w:customStyle="1" w:styleId="C721BF6B914547818DD446027CDDD590">
    <w:name w:val="C721BF6B914547818DD446027CDDD590"/>
    <w:rsid w:val="00F26687"/>
  </w:style>
  <w:style w:type="paragraph" w:customStyle="1" w:styleId="168A2ADBA8034162B0B5225480459693">
    <w:name w:val="168A2ADBA8034162B0B5225480459693"/>
    <w:rsid w:val="00F26687"/>
  </w:style>
  <w:style w:type="paragraph" w:customStyle="1" w:styleId="4AE3AA8A77544675BAEF9D206297C0F2">
    <w:name w:val="4AE3AA8A77544675BAEF9D206297C0F2"/>
    <w:rsid w:val="00F26687"/>
  </w:style>
  <w:style w:type="paragraph" w:customStyle="1" w:styleId="C93990AB98E44723A11BB8503D3DC01E">
    <w:name w:val="C93990AB98E44723A11BB8503D3DC01E"/>
    <w:rsid w:val="00F26687"/>
  </w:style>
  <w:style w:type="paragraph" w:customStyle="1" w:styleId="BCA76CA1FEAC41EC81C1F073EAB80A8B">
    <w:name w:val="BCA76CA1FEAC41EC81C1F073EAB80A8B"/>
    <w:rsid w:val="00F26687"/>
  </w:style>
  <w:style w:type="paragraph" w:customStyle="1" w:styleId="3CC6325408764F848C10BC3D52B9D037">
    <w:name w:val="3CC6325408764F848C10BC3D52B9D037"/>
    <w:rsid w:val="00F26687"/>
  </w:style>
  <w:style w:type="paragraph" w:customStyle="1" w:styleId="859616AE0E424BD9A0036FA45BCEFC1F">
    <w:name w:val="859616AE0E424BD9A0036FA45BCEFC1F"/>
    <w:rsid w:val="00F26687"/>
  </w:style>
  <w:style w:type="paragraph" w:customStyle="1" w:styleId="A3BF901BF5CC47338FD9A0BF60C05807">
    <w:name w:val="A3BF901BF5CC47338FD9A0BF60C05807"/>
    <w:rsid w:val="00F26687"/>
  </w:style>
  <w:style w:type="paragraph" w:customStyle="1" w:styleId="EB9E70454EA445789294D0EDB4719CC4">
    <w:name w:val="EB9E70454EA445789294D0EDB4719CC4"/>
    <w:rsid w:val="00F26687"/>
  </w:style>
  <w:style w:type="paragraph" w:customStyle="1" w:styleId="114740B9198745B698AE82B2B4E35173">
    <w:name w:val="114740B9198745B698AE82B2B4E35173"/>
    <w:rsid w:val="00F26687"/>
  </w:style>
  <w:style w:type="paragraph" w:customStyle="1" w:styleId="21C50C15079D43948A713AC3D66D2F38">
    <w:name w:val="21C50C15079D43948A713AC3D66D2F38"/>
    <w:rsid w:val="00F26687"/>
  </w:style>
  <w:style w:type="paragraph" w:customStyle="1" w:styleId="DA0DF406B797484FAD4368B4DA5D0E16">
    <w:name w:val="DA0DF406B797484FAD4368B4DA5D0E16"/>
    <w:rsid w:val="00F26687"/>
  </w:style>
  <w:style w:type="paragraph" w:customStyle="1" w:styleId="BF8ACBDDD534463098B61A024229C65A">
    <w:name w:val="BF8ACBDDD534463098B61A024229C65A"/>
    <w:rsid w:val="00F26687"/>
  </w:style>
  <w:style w:type="paragraph" w:customStyle="1" w:styleId="F0C0DF79717C4195BF721EDB44C828C2">
    <w:name w:val="F0C0DF79717C4195BF721EDB44C828C2"/>
    <w:rsid w:val="00F26687"/>
  </w:style>
  <w:style w:type="paragraph" w:customStyle="1" w:styleId="365ED843AC734571A4B38F69F5353EDD">
    <w:name w:val="365ED843AC734571A4B38F69F5353EDD"/>
    <w:rsid w:val="00F26687"/>
  </w:style>
  <w:style w:type="paragraph" w:customStyle="1" w:styleId="AAE3E4D09BBB47B8BE2FDC0283AD2A52">
    <w:name w:val="AAE3E4D09BBB47B8BE2FDC0283AD2A52"/>
    <w:rsid w:val="00F26687"/>
  </w:style>
  <w:style w:type="paragraph" w:customStyle="1" w:styleId="6505F00101664EC19700FE1942A77828">
    <w:name w:val="6505F00101664EC19700FE1942A77828"/>
    <w:rsid w:val="00F26687"/>
  </w:style>
  <w:style w:type="paragraph" w:customStyle="1" w:styleId="31EDA1E37D944C2094C0043783A28C5E">
    <w:name w:val="31EDA1E37D944C2094C0043783A28C5E"/>
    <w:rsid w:val="00F26687"/>
  </w:style>
  <w:style w:type="paragraph" w:customStyle="1" w:styleId="44901871968B466CA451365BB7E2B43C">
    <w:name w:val="44901871968B466CA451365BB7E2B43C"/>
    <w:rsid w:val="00F26687"/>
  </w:style>
  <w:style w:type="paragraph" w:customStyle="1" w:styleId="9FD08A166B9E48C3985A56DD86551702">
    <w:name w:val="9FD08A166B9E48C3985A56DD86551702"/>
    <w:rsid w:val="00F26687"/>
  </w:style>
  <w:style w:type="paragraph" w:customStyle="1" w:styleId="ED41D5F36C2948C1B7C62B836F1C7D71">
    <w:name w:val="ED41D5F36C2948C1B7C62B836F1C7D71"/>
    <w:rsid w:val="00F26687"/>
  </w:style>
  <w:style w:type="paragraph" w:customStyle="1" w:styleId="80293576216E43E5A665C376784079DB">
    <w:name w:val="80293576216E43E5A665C376784079DB"/>
    <w:rsid w:val="00F26687"/>
  </w:style>
  <w:style w:type="paragraph" w:customStyle="1" w:styleId="C4921915FA634AE099DE38EF71A394FC">
    <w:name w:val="C4921915FA634AE099DE38EF71A394FC"/>
    <w:rsid w:val="00F26687"/>
  </w:style>
  <w:style w:type="paragraph" w:customStyle="1" w:styleId="344FECCA1E714B26B34DBAF2C0FF52C6">
    <w:name w:val="344FECCA1E714B26B34DBAF2C0FF52C6"/>
    <w:rsid w:val="00F26687"/>
  </w:style>
  <w:style w:type="paragraph" w:customStyle="1" w:styleId="6B303180893048148EB508953BFD8411">
    <w:name w:val="6B303180893048148EB508953BFD8411"/>
    <w:rsid w:val="00F26687"/>
  </w:style>
  <w:style w:type="paragraph" w:customStyle="1" w:styleId="1FD3FF36D2D54FBBB72E58774F68EA51">
    <w:name w:val="1FD3FF36D2D54FBBB72E58774F68EA51"/>
    <w:rsid w:val="00F26687"/>
  </w:style>
  <w:style w:type="paragraph" w:customStyle="1" w:styleId="F383091C70374B999FFB71D19B0F9A10">
    <w:name w:val="F383091C70374B999FFB71D19B0F9A10"/>
    <w:rsid w:val="00F26687"/>
  </w:style>
  <w:style w:type="paragraph" w:customStyle="1" w:styleId="0896FFB6D52440D895684735A22AB90D">
    <w:name w:val="0896FFB6D52440D895684735A22AB90D"/>
    <w:rsid w:val="00F26687"/>
  </w:style>
  <w:style w:type="paragraph" w:customStyle="1" w:styleId="964509D2F5A6474EA52A089722375143">
    <w:name w:val="964509D2F5A6474EA52A089722375143"/>
    <w:rsid w:val="00F26687"/>
  </w:style>
  <w:style w:type="paragraph" w:customStyle="1" w:styleId="9958BDB34C6C4CF3A7A07BA2EE7A3408">
    <w:name w:val="9958BDB34C6C4CF3A7A07BA2EE7A3408"/>
    <w:rsid w:val="00F26687"/>
  </w:style>
  <w:style w:type="paragraph" w:customStyle="1" w:styleId="296FA0867744480681EEB20E24964986">
    <w:name w:val="296FA0867744480681EEB20E24964986"/>
    <w:rsid w:val="00F26687"/>
  </w:style>
  <w:style w:type="paragraph" w:customStyle="1" w:styleId="E6A28E1B08774AEA8550867CB133EF2A">
    <w:name w:val="E6A28E1B08774AEA8550867CB133EF2A"/>
    <w:rsid w:val="00F26687"/>
  </w:style>
  <w:style w:type="paragraph" w:customStyle="1" w:styleId="29428AFF81404A4A81E87FD868172292">
    <w:name w:val="29428AFF81404A4A81E87FD868172292"/>
    <w:rsid w:val="00F26687"/>
  </w:style>
  <w:style w:type="paragraph" w:customStyle="1" w:styleId="23814C06A96C4D80B5002CEAD5E733FC">
    <w:name w:val="23814C06A96C4D80B5002CEAD5E733FC"/>
    <w:rsid w:val="00F26687"/>
  </w:style>
  <w:style w:type="paragraph" w:customStyle="1" w:styleId="6E0492B068DF4B64B0DE7D3CC19491BE">
    <w:name w:val="6E0492B068DF4B64B0DE7D3CC19491BE"/>
    <w:rsid w:val="00F26687"/>
  </w:style>
  <w:style w:type="paragraph" w:customStyle="1" w:styleId="DD484B1D391F448196036BC54D08E95B">
    <w:name w:val="DD484B1D391F448196036BC54D08E95B"/>
    <w:rsid w:val="00F26687"/>
  </w:style>
  <w:style w:type="paragraph" w:customStyle="1" w:styleId="0CFAD528B3C543B8AA7C118DA9EBF624">
    <w:name w:val="0CFAD528B3C543B8AA7C118DA9EBF624"/>
    <w:rsid w:val="00F26687"/>
  </w:style>
  <w:style w:type="paragraph" w:customStyle="1" w:styleId="536EFC64FC774E828C71BB8CCCD1E11D">
    <w:name w:val="536EFC64FC774E828C71BB8CCCD1E11D"/>
    <w:rsid w:val="00F26687"/>
  </w:style>
  <w:style w:type="paragraph" w:customStyle="1" w:styleId="348F59C394DE46D98AA6BCCD63BDE65E">
    <w:name w:val="348F59C394DE46D98AA6BCCD63BDE65E"/>
    <w:rsid w:val="00F26687"/>
  </w:style>
  <w:style w:type="paragraph" w:customStyle="1" w:styleId="AB50E6220F2B4081AAE724696A55E16C">
    <w:name w:val="AB50E6220F2B4081AAE724696A55E16C"/>
    <w:rsid w:val="00F26687"/>
  </w:style>
  <w:style w:type="paragraph" w:customStyle="1" w:styleId="FE7770B5E592497C83C511650F82CFFA">
    <w:name w:val="FE7770B5E592497C83C511650F82CFFA"/>
    <w:rsid w:val="00F26687"/>
  </w:style>
  <w:style w:type="paragraph" w:customStyle="1" w:styleId="A095CAA516964E7C903F9BABCBAB08C4">
    <w:name w:val="A095CAA516964E7C903F9BABCBAB08C4"/>
    <w:rsid w:val="00F26687"/>
  </w:style>
  <w:style w:type="paragraph" w:customStyle="1" w:styleId="942DF55AE9E74486BE2CBCB87AEA998C">
    <w:name w:val="942DF55AE9E74486BE2CBCB87AEA998C"/>
    <w:rsid w:val="00F26687"/>
  </w:style>
  <w:style w:type="paragraph" w:customStyle="1" w:styleId="4D00C6EC0E0E46A5B95E7A3C7B9FC53D">
    <w:name w:val="4D00C6EC0E0E46A5B95E7A3C7B9FC53D"/>
    <w:rsid w:val="00F26687"/>
  </w:style>
  <w:style w:type="paragraph" w:customStyle="1" w:styleId="435704F40E0D4E6B9E00F8BC546FBD56">
    <w:name w:val="435704F40E0D4E6B9E00F8BC546FBD56"/>
    <w:rsid w:val="00F26687"/>
  </w:style>
  <w:style w:type="paragraph" w:customStyle="1" w:styleId="24E5BA4321724DA0A031EE69680C4EE3">
    <w:name w:val="24E5BA4321724DA0A031EE69680C4EE3"/>
    <w:rsid w:val="00F26687"/>
  </w:style>
  <w:style w:type="paragraph" w:customStyle="1" w:styleId="604AE936793244D883AE0C0609E5D081">
    <w:name w:val="604AE936793244D883AE0C0609E5D081"/>
    <w:rsid w:val="00F26687"/>
  </w:style>
  <w:style w:type="paragraph" w:customStyle="1" w:styleId="9050A2C9696F477EACB517E0BC5E615D">
    <w:name w:val="9050A2C9696F477EACB517E0BC5E615D"/>
    <w:rsid w:val="00F26687"/>
  </w:style>
  <w:style w:type="paragraph" w:customStyle="1" w:styleId="FAF0DE6F8E104F55B3BC4E907C5EA4FE">
    <w:name w:val="FAF0DE6F8E104F55B3BC4E907C5EA4FE"/>
    <w:rsid w:val="00F266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E0BE8-AA7B-4C4B-9DB1-FA2AC0BC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WI11 Assembler Project</vt:lpstr>
    </vt:vector>
  </TitlesOfParts>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WI11 Assembler Project</dc:title>
  <dc:subject>Lab 2 Group BEERZ</dc:subject>
  <dc:creator>Elliot Schumacher, Brad Kline, Zach Smith, Evan Todd, and Ryan Powers</dc:creator>
  <cp:lastModifiedBy>Elliot</cp:lastModifiedBy>
  <cp:revision>6</cp:revision>
  <dcterms:created xsi:type="dcterms:W3CDTF">2011-02-23T06:40:00Z</dcterms:created>
  <dcterms:modified xsi:type="dcterms:W3CDTF">2011-02-23T14:33:00Z</dcterms:modified>
</cp:coreProperties>
</file>