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"/>
      </w:pPr>
      <w:r>
        <w:rPr>
          <w:rFonts w:ascii="Calibri" w:cs="Calibri" w:eastAsia="Calibri" w:hAnsi="Calibri"/>
          <w:b/>
          <w:bCs/>
          <w:color w:val="1F3A4D"/>
          <w:sz w:val="28"/>
          <w:szCs w:val="28"/>
        </w:rPr>
        <w:t xml:space="preserve">Behavioral Stories · Aditi Kalle</w:t>
      </w:r>
    </w:p>
    <w:p>
      <w:pPr>
        <w:pBdr>
          <w:bottom w:val="single" w:color="1F3A4D" w:sz="6" w:space="5"/>
        </w:pBdr>
        <w:spacing w:after="130"/>
      </w:pP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STAR format. Say the story, not the label. Keep each to ~90 seconds. Pair with the Whiteboard and Technical Brief.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0B6E5F" w:val="clear"/>
        </w:rPr>
        <w:t xml:space="preserve">  TROUBLESHOOTING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  The vapor chamber that would not flow (UCSD)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Use for: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tough problem in the lab · troubleshoot under pressure · first-principles debugging · rigor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S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On the UCSD thin-film evaporation setup, water was supposed to flow continuously from the DI reservoir up to the vapor chamber. Mid-campaign, the flow stopped.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T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had to find the cause without damaging the fragile sample, and get the test back on track.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A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worked the checklist methodically: tubing connected, valves open, water in the reservoir. The reservoir had water, but the level had fallen below the chamber inlet, so there was not enough hydrostatic head (P = rho g h) to drive flow upward. I refilled and raised the reservoir height to restore the pressure head.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R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Flow resumed immediately and the test proceeded as planned. The lesson I keep: when a system stalls, reason from the physics driving it, here a pressure balance, rather than guessing.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0B6E5F" w:val="clear"/>
        </w:rPr>
        <w:t xml:space="preserve">  COMMUNICATION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  The "islands" mindset (how I work with a team)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Use for: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teamwork · conflict · communication style · "deliver hard truths"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S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Across fast-moving, interdisciplinary lab teams, I noticed how easily people talk past each other.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T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wanted to reduce miscommunication and unnecessary conflict on shared hardware.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A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came to see that everyone works from their own perspective, almost like islands, and unless we communicate clearly it is easy to misinterpret or miss important things. So when I sense tension or confusion, I ask clarifying questions early and often. I do not assume people know what I need or what I am thinking, and I do not expect the same from them.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R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That mindset keeps me grounded, reduces conflict, and lets me work more transparently with teammates. It is also how I give and take direct feedback without it becoming personal.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0B6E5F" w:val="clear"/>
        </w:rPr>
        <w:t xml:space="preserve">  OWNERSHIP + RIGOR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  Fusion materials qualification (Zap Energy)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Use for: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ownership end-to-end · rigor · technical depth · working in ambiguity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S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At Zap Energy I worked on developing and qualifying a novel Sn-Li-Pb ternary-eutectic alloy for liquid-metal blanket hardware, plus porous tungsten (W-5Re) structures.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T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We needed to find the eutectic composition with the lowest melting onset and qualify the material for an extreme-temperature, high-vacuum environment.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A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established a baseline on known reference alloys before the unknown target, prepared alloys in an inert glovebox, ran STA (TGA/DSC) heat-cool cycles to catch the solid-liquid phase change, and qualified microstructure with SEM/EDX. I owned the test setups, procedures, and acceptance criteria, and ran high-vacuum and compressed-gas operations under human-safety-critical protocols.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R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We identified the eutectic and qualified the hardware. It gave me real fusion-hardware experience and confidence working rigorously in an ambiguous, first-of-a-kind environment.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0B6E5F" w:val="clear"/>
        </w:rPr>
        <w:t xml:space="preserve">  ADAPTABILITY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  Flexing when the setup does not cooperate (UCSD / UIUC)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Use for: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adaptability · handling uncertainty · learning fast · "build with urgency"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S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In the UCSD and UIUC labs, experimental setups often did not behave as expected: water-transport inconsistencies, CHF deviations, a multimeter reading wrong.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T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had to keep data quality high while setups kept throwing surprises, often on a deadline.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A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leaned on patience and structure: isolate variables, check one thing at a time, and stay flexible about the plan while rigid about the method. Adaptability across domains, fusion, desalination, marine, is a skill I have come to genuinely enjoy: learning new tools, troubleshooting, and navigating uncertainty.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R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consistently preserved data integrity across repeated campaigns, and I built confidence that I can drop into an unfamiliar system and get it working.</w:t>
      </w:r>
    </w:p>
    <w:p>
      <w:pPr>
        <w:shd w:fill="EAF1F0" w:val="clear"/>
        <w:spacing w:after="40" w:before="150"/>
      </w:pPr>
      <w:r>
        <w:rPr>
          <w:rFonts w:ascii="Calibri" w:cs="Calibri" w:eastAsia="Calibri" w:hAnsi="Calibri"/>
          <w:b/>
          <w:bCs/>
          <w:color w:val="FFFFFF"/>
          <w:sz w:val="15"/>
          <w:szCs w:val="15"/>
          <w:shd w:fill="0B6E5F" w:val="clear"/>
        </w:rPr>
        <w:t xml:space="preserve">  IMPACT  </w:t>
      </w: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  Turning telemetry into decisions (MarineSitu)</w:t>
      </w:r>
    </w:p>
    <w:p>
      <w:pPr>
        <w:spacing w:after="50"/>
      </w:pPr>
      <w:r>
        <w:rPr>
          <w:rFonts w:ascii="Calibri" w:cs="Calibri" w:eastAsia="Calibri" w:hAnsi="Calibri"/>
          <w:b/>
          <w:bCs/>
          <w:color w:val="B4531A"/>
          <w:sz w:val="15"/>
          <w:szCs w:val="15"/>
        </w:rPr>
        <w:t xml:space="preserve">Use for:  </w:t>
      </w:r>
      <w:r>
        <w:rPr>
          <w:rFonts w:ascii="Calibri" w:cs="Calibri" w:eastAsia="Calibri" w:hAnsi="Calibri"/>
          <w:i/>
          <w:iCs/>
          <w:color w:val="444444"/>
          <w:sz w:val="15"/>
          <w:szCs w:val="15"/>
        </w:rPr>
        <w:t xml:space="preserve">ownership · impact · data-to-decisions · initiative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S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At MarineSitu, an off-grid solar buoy had to run cameras and sensors on a limited battery without over-discharging.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T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needed to turn raw field telemetry into a safe, deployable operating strategy.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A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I characterized the power system from 35 days of telemetry, built forecasting and a scheduling optimizer to hold the battery in a safe range, and validated the models against real data. Along the way I caught a roughly 60% biofouling power loss and a distinct sensor fault with a panel-health monitor, and found the voltage-based state-of-charge was about 15% off, so I recommended coulomb counting.</w:t>
      </w:r>
    </w:p>
    <w:p>
      <w:pPr>
        <w:spacing w:after="34" w:line="252"/>
        <w:ind w:left="360" w:hanging="360"/>
      </w:pPr>
      <w:r>
        <w:rPr>
          <w:rFonts w:ascii="Calibri" w:cs="Calibri" w:eastAsia="Calibri" w:hAnsi="Calibri"/>
          <w:b/>
          <w:bCs/>
          <w:color w:val="0B6E5F"/>
          <w:sz w:val="17"/>
          <w:szCs w:val="17"/>
        </w:rPr>
        <w:t xml:space="preserve">R  </w:t>
      </w:r>
      <w:r>
        <w:rPr>
          <w:rFonts w:ascii="Calibri" w:cs="Calibri" w:eastAsia="Calibri" w:hAnsi="Calibri"/>
          <w:color w:val="111111"/>
          <w:sz w:val="17"/>
          <w:szCs w:val="17"/>
        </w:rPr>
        <w:t xml:space="preserve">The controller held the battery with zero floor violations, and the fault detection and model corrections directly informed how the system gets deployed. The through-line of my work: turn real hardware data into engineering decisions.</w:t>
      </w:r>
    </w:p>
    <w:p>
      <w:pPr>
        <w:pBdr>
          <w:top w:val="single" w:color="1F3A4D" w:sz="4" w:space="6"/>
        </w:pBdr>
        <w:spacing w:after="20" w:before="160"/>
      </w:pPr>
      <w:r>
        <w:rPr>
          <w:rFonts w:ascii="Calibri" w:cs="Calibri" w:eastAsia="Calibri" w:hAnsi="Calibri"/>
          <w:b/>
          <w:bCs/>
          <w:color w:val="1F3A4D"/>
          <w:sz w:val="17"/>
          <w:szCs w:val="17"/>
        </w:rPr>
        <w:t xml:space="preserve">Delivery reminders</w:t>
      </w:r>
    </w:p>
    <w:p>
      <w:pPr>
        <w:spacing w:after="26"/>
        <w:ind w:left="250" w:hanging="230"/>
      </w:pPr>
      <w:r>
        <w:rPr>
          <w:rFonts w:ascii="Calibri" w:cs="Calibri" w:eastAsia="Calibri" w:hAnsi="Calibri"/>
          <w:b/>
          <w:bCs/>
          <w:color w:val="1F3A4D"/>
          <w:sz w:val="16"/>
          <w:szCs w:val="16"/>
        </w:rPr>
        <w:t xml:space="preserve">•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Say the situation and task fast; spend your time on the action and result.</w:t>
      </w:r>
    </w:p>
    <w:p>
      <w:pPr>
        <w:spacing w:after="26"/>
        <w:ind w:left="250" w:hanging="230"/>
      </w:pPr>
      <w:r>
        <w:rPr>
          <w:rFonts w:ascii="Calibri" w:cs="Calibri" w:eastAsia="Calibri" w:hAnsi="Calibri"/>
          <w:b/>
          <w:bCs/>
          <w:color w:val="B4531A"/>
          <w:sz w:val="16"/>
          <w:szCs w:val="16"/>
        </w:rPr>
        <w:t xml:space="preserve">• </w:t>
      </w:r>
      <w:r>
        <w:rPr>
          <w:rFonts w:ascii="Calibri" w:cs="Calibri" w:eastAsia="Calibri" w:hAnsi="Calibri"/>
          <w:b/>
          <w:bCs/>
          <w:color w:val="111111"/>
          <w:sz w:val="16"/>
          <w:szCs w:val="16"/>
        </w:rPr>
        <w:t xml:space="preserve">Honesty on the CHF work: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on any UCSD story, say "I contributed to the experiments, second author," not "my project."</w:t>
      </w:r>
    </w:p>
    <w:p>
      <w:pPr>
        <w:spacing w:after="26"/>
        <w:ind w:left="250" w:hanging="230"/>
      </w:pPr>
      <w:r>
        <w:rPr>
          <w:rFonts w:ascii="Calibri" w:cs="Calibri" w:eastAsia="Calibri" w:hAnsi="Calibri"/>
          <w:b/>
          <w:bCs/>
          <w:color w:val="1F3A4D"/>
          <w:sz w:val="16"/>
          <w:szCs w:val="16"/>
        </w:rPr>
        <w:t xml:space="preserve">•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End on the lesson or result, it is what they remember.</w:t>
      </w:r>
    </w:p>
    <w:p>
      <w:pPr>
        <w:spacing w:after="26"/>
        <w:ind w:left="250" w:hanging="230"/>
      </w:pPr>
      <w:r>
        <w:rPr>
          <w:rFonts w:ascii="Calibri" w:cs="Calibri" w:eastAsia="Calibri" w:hAnsi="Calibri"/>
          <w:b/>
          <w:bCs/>
          <w:color w:val="1F3A4D"/>
          <w:sz w:val="16"/>
          <w:szCs w:val="16"/>
        </w:rPr>
        <w:t xml:space="preserve">• </w:t>
      </w:r>
      <w:r>
        <w:rPr>
          <w:rFonts w:ascii="Calibri" w:cs="Calibri" w:eastAsia="Calibri" w:hAnsi="Calibri"/>
          <w:color w:val="222222"/>
          <w:sz w:val="16"/>
          <w:szCs w:val="16"/>
        </w:rPr>
        <w:t xml:space="preserve">One story can answer several prompts, pick the closest and adapt the framing.</w:t>
      </w:r>
    </w:p>
    <w:sectPr>
      <w:pgSz w:w="11906" w:h="16838" w:orient="portrait"/>
      <w:pgMar w:top="680" w:right="1000" w:bottom="62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2026-08-05T03:50:22.228Z</dcterms:created>
  <dcterms:modified xsi:type="dcterms:W3CDTF">2026-08-05T03:50:22.244Z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